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D0775" w14:textId="77777777" w:rsidR="004873DA" w:rsidRDefault="00BF0238" w:rsidP="00B80983">
      <w:pPr>
        <w:pStyle w:val="Rtitle"/>
      </w:pPr>
      <w:r>
        <w:t>Matters arising from internal audit work for 2019/20 completed to 31 December 2019</w:t>
      </w:r>
    </w:p>
    <w:p w14:paraId="13E3FEF4" w14:textId="77777777" w:rsidR="00F02DC5" w:rsidRPr="00951213" w:rsidRDefault="00BF0238" w:rsidP="00951213">
      <w:pPr>
        <w:pStyle w:val="Rheading"/>
      </w:pPr>
      <w:r>
        <w:t>Introduction</w:t>
      </w:r>
    </w:p>
    <w:p w14:paraId="2CB89C40" w14:textId="77777777" w:rsidR="00873C5A" w:rsidRDefault="00BF0238" w:rsidP="00743805">
      <w:pPr>
        <w:pStyle w:val="Rparagraph"/>
      </w:pPr>
      <w:r w:rsidRPr="00DC3125">
        <w:t xml:space="preserve">This report highlights </w:t>
      </w:r>
      <w:r>
        <w:t>the</w:t>
      </w:r>
      <w:r w:rsidRPr="00DC3125">
        <w:t xml:space="preserve"> issues that the Audit</w:t>
      </w:r>
      <w:r>
        <w:t>, Risk</w:t>
      </w:r>
      <w:r w:rsidRPr="00DC3125">
        <w:t xml:space="preserve"> and Governance </w:t>
      </w:r>
      <w:r w:rsidRPr="0046437D">
        <w:t>Committee</w:t>
      </w:r>
      <w:r w:rsidRPr="00DC3125">
        <w:t xml:space="preserve"> should be aware of in fulfilling its role of providing independent oversight of the adequacy of the council's governance, risk management and internal control framework. It </w:t>
      </w:r>
      <w:r>
        <w:t>sets out the issues arising from</w:t>
      </w:r>
      <w:r w:rsidRPr="00DC3125">
        <w:t xml:space="preserve"> the work undertaken during the </w:t>
      </w:r>
      <w:r>
        <w:t xml:space="preserve">period </w:t>
      </w:r>
      <w:r w:rsidRPr="00DC3125">
        <w:t xml:space="preserve">to </w:t>
      </w:r>
      <w:r>
        <w:t xml:space="preserve">31 December 2019 </w:t>
      </w:r>
      <w:r w:rsidRPr="00DC3125">
        <w:t>by the Internal Audit Service under the audit plan</w:t>
      </w:r>
      <w:r>
        <w:t xml:space="preserve"> </w:t>
      </w:r>
      <w:r w:rsidRPr="00DC3125">
        <w:t xml:space="preserve">for </w:t>
      </w:r>
      <w:r>
        <w:t>2019/20.</w:t>
      </w:r>
    </w:p>
    <w:p w14:paraId="414F1346" w14:textId="77777777" w:rsidR="00295199" w:rsidRDefault="00BF0238" w:rsidP="00295199">
      <w:pPr>
        <w:pStyle w:val="Rheading"/>
      </w:pPr>
      <w:r>
        <w:t>Work completed</w:t>
      </w:r>
    </w:p>
    <w:p w14:paraId="11A33DF9" w14:textId="2237A1B2" w:rsidR="00295199" w:rsidRPr="00AD5BD2" w:rsidRDefault="00BF0238" w:rsidP="00743805">
      <w:pPr>
        <w:pStyle w:val="Rparagraph"/>
      </w:pPr>
      <w:r w:rsidRPr="00C401E5">
        <w:t xml:space="preserve">Eleven audits </w:t>
      </w:r>
      <w:r w:rsidRPr="00AD5BD2">
        <w:t>have been completed</w:t>
      </w:r>
      <w:r>
        <w:t xml:space="preserve"> during the last quarter </w:t>
      </w:r>
      <w:r w:rsidRPr="00AD5BD2">
        <w:t xml:space="preserve">and assurance has </w:t>
      </w:r>
      <w:r>
        <w:t xml:space="preserve">now </w:t>
      </w:r>
      <w:r w:rsidRPr="00AD5BD2">
        <w:t xml:space="preserve">been provided as set out in the table below. Reports </w:t>
      </w:r>
      <w:r w:rsidRPr="00C401E5">
        <w:t xml:space="preserve">on </w:t>
      </w:r>
      <w:r w:rsidR="008A12D3">
        <w:t>seven</w:t>
      </w:r>
      <w:r w:rsidR="008A12D3" w:rsidRPr="00C401E5">
        <w:t xml:space="preserve"> </w:t>
      </w:r>
      <w:r w:rsidRPr="00C401E5">
        <w:t xml:space="preserve">further </w:t>
      </w:r>
      <w:r w:rsidRPr="00AD5BD2">
        <w:t xml:space="preserve">audits </w:t>
      </w:r>
      <w:r>
        <w:t xml:space="preserve">have been drafted and </w:t>
      </w:r>
      <w:r w:rsidRPr="00AD5BD2">
        <w:t xml:space="preserve">are being discussed with </w:t>
      </w:r>
      <w:r w:rsidRPr="00FE004D">
        <w:t xml:space="preserve">management. </w:t>
      </w:r>
      <w:r>
        <w:t xml:space="preserve">Ten of </w:t>
      </w:r>
      <w:r w:rsidRPr="00FE004D">
        <w:t xml:space="preserve">the 92 audits </w:t>
      </w:r>
      <w:r>
        <w:t xml:space="preserve">originally on </w:t>
      </w:r>
      <w:r w:rsidRPr="00AD5BD2">
        <w:t>the plan (excluding follow-up work and grant certification)</w:t>
      </w:r>
      <w:r>
        <w:t xml:space="preserve"> were removed from the plan before the end of September 2019 and </w:t>
      </w:r>
      <w:r w:rsidRPr="00C401E5">
        <w:t xml:space="preserve">three more audits have been removed, leaving 79 audits on the plan, of which 21 have now been reported. The reasons for the most recent changes to the </w:t>
      </w:r>
      <w:r>
        <w:t xml:space="preserve">plan are set out in </w:t>
      </w:r>
      <w:r w:rsidRPr="002E0618">
        <w:t>section 3 below</w:t>
      </w:r>
      <w:r>
        <w:t>.</w:t>
      </w:r>
    </w:p>
    <w:tbl>
      <w:tblPr>
        <w:tblStyle w:val="TableGrid"/>
        <w:tblW w:w="8364" w:type="dxa"/>
        <w:tblInd w:w="562" w:type="dxa"/>
        <w:tblLayout w:type="fixed"/>
        <w:tblLook w:val="04A0" w:firstRow="1" w:lastRow="0" w:firstColumn="1" w:lastColumn="0" w:noHBand="0" w:noVBand="1"/>
      </w:tblPr>
      <w:tblGrid>
        <w:gridCol w:w="2552"/>
        <w:gridCol w:w="1134"/>
        <w:gridCol w:w="1417"/>
        <w:gridCol w:w="1134"/>
        <w:gridCol w:w="993"/>
        <w:gridCol w:w="1134"/>
      </w:tblGrid>
      <w:tr w:rsidR="00E723C3" w14:paraId="49843B42" w14:textId="77777777" w:rsidTr="00505ED9">
        <w:tc>
          <w:tcPr>
            <w:tcW w:w="2552" w:type="dxa"/>
            <w:vMerge w:val="restart"/>
            <w:tcBorders>
              <w:top w:val="single" w:sz="4" w:space="0" w:color="auto"/>
              <w:left w:val="single" w:sz="4" w:space="0" w:color="auto"/>
            </w:tcBorders>
            <w:shd w:val="clear" w:color="auto" w:fill="D9D9D9" w:themeFill="background1" w:themeFillShade="D9"/>
          </w:tcPr>
          <w:p w14:paraId="3E8D2F42" w14:textId="77777777" w:rsidR="00295199" w:rsidRPr="00AE67EF" w:rsidRDefault="00BF0238" w:rsidP="00AE67EF">
            <w:pPr>
              <w:tabs>
                <w:tab w:val="left" w:pos="284"/>
              </w:tabs>
              <w:spacing w:before="20" w:after="20" w:line="240" w:lineRule="auto"/>
              <w:rPr>
                <w:rFonts w:ascii="Arial" w:hAnsi="Arial" w:cs="Arial"/>
                <w:b/>
                <w:sz w:val="22"/>
                <w:szCs w:val="22"/>
              </w:rPr>
            </w:pPr>
            <w:r w:rsidRPr="00AE67EF">
              <w:rPr>
                <w:rFonts w:ascii="Arial" w:hAnsi="Arial" w:cs="Arial"/>
                <w:b/>
                <w:sz w:val="22"/>
                <w:szCs w:val="22"/>
              </w:rPr>
              <w:t>2019/20 assignments relating to:</w:t>
            </w:r>
          </w:p>
        </w:tc>
        <w:tc>
          <w:tcPr>
            <w:tcW w:w="1134" w:type="dxa"/>
            <w:vMerge w:val="restart"/>
            <w:shd w:val="clear" w:color="auto" w:fill="D9D9D9" w:themeFill="background1" w:themeFillShade="D9"/>
          </w:tcPr>
          <w:p w14:paraId="495ABA7D" w14:textId="77777777" w:rsidR="00295199" w:rsidRPr="00AE67EF" w:rsidRDefault="00D6316E" w:rsidP="00AE67EF">
            <w:pPr>
              <w:tabs>
                <w:tab w:val="left" w:pos="284"/>
              </w:tabs>
              <w:spacing w:before="20" w:after="20" w:line="240" w:lineRule="auto"/>
              <w:jc w:val="both"/>
              <w:rPr>
                <w:rFonts w:ascii="Arial" w:hAnsi="Arial" w:cs="Arial"/>
                <w:b/>
                <w:sz w:val="22"/>
                <w:szCs w:val="22"/>
              </w:rPr>
            </w:pPr>
          </w:p>
          <w:p w14:paraId="38B11A23" w14:textId="77777777" w:rsidR="00295199" w:rsidRPr="00AE67EF" w:rsidRDefault="00BF0238" w:rsidP="00505ED9">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Total</w:t>
            </w:r>
          </w:p>
        </w:tc>
        <w:tc>
          <w:tcPr>
            <w:tcW w:w="4678" w:type="dxa"/>
            <w:gridSpan w:val="4"/>
            <w:shd w:val="clear" w:color="auto" w:fill="D9D9D9" w:themeFill="background1" w:themeFillShade="D9"/>
          </w:tcPr>
          <w:p w14:paraId="7D448A8D" w14:textId="77777777" w:rsidR="00295199" w:rsidRPr="00AE67EF" w:rsidRDefault="00BF0238" w:rsidP="00AE67EF">
            <w:pPr>
              <w:tabs>
                <w:tab w:val="left" w:pos="284"/>
              </w:tabs>
              <w:spacing w:before="20" w:after="20" w:line="240" w:lineRule="auto"/>
              <w:jc w:val="both"/>
              <w:rPr>
                <w:rFonts w:ascii="Arial" w:hAnsi="Arial" w:cs="Arial"/>
                <w:b/>
                <w:sz w:val="22"/>
                <w:szCs w:val="22"/>
              </w:rPr>
            </w:pPr>
            <w:r w:rsidRPr="00AE67EF">
              <w:rPr>
                <w:rFonts w:ascii="Arial" w:hAnsi="Arial" w:cs="Arial"/>
                <w:b/>
                <w:sz w:val="22"/>
                <w:szCs w:val="22"/>
              </w:rPr>
              <w:t>Assurance provided</w:t>
            </w:r>
          </w:p>
        </w:tc>
      </w:tr>
      <w:tr w:rsidR="00E723C3" w14:paraId="6BD9C6A5" w14:textId="77777777" w:rsidTr="00505ED9">
        <w:trPr>
          <w:trHeight w:val="217"/>
        </w:trPr>
        <w:tc>
          <w:tcPr>
            <w:tcW w:w="2552" w:type="dxa"/>
            <w:vMerge/>
            <w:tcBorders>
              <w:left w:val="single" w:sz="4" w:space="0" w:color="auto"/>
            </w:tcBorders>
            <w:shd w:val="clear" w:color="auto" w:fill="D9D9D9" w:themeFill="background1" w:themeFillShade="D9"/>
          </w:tcPr>
          <w:p w14:paraId="70E22C83" w14:textId="77777777" w:rsidR="00295199" w:rsidRPr="00AE67EF" w:rsidRDefault="00D6316E" w:rsidP="00AE67EF">
            <w:pPr>
              <w:tabs>
                <w:tab w:val="left" w:pos="284"/>
              </w:tabs>
              <w:spacing w:before="20" w:after="20" w:line="240" w:lineRule="auto"/>
              <w:jc w:val="both"/>
              <w:rPr>
                <w:rFonts w:ascii="Arial" w:hAnsi="Arial" w:cs="Arial"/>
                <w:b/>
                <w:sz w:val="22"/>
                <w:szCs w:val="22"/>
              </w:rPr>
            </w:pPr>
          </w:p>
        </w:tc>
        <w:tc>
          <w:tcPr>
            <w:tcW w:w="1134" w:type="dxa"/>
            <w:vMerge/>
            <w:shd w:val="clear" w:color="auto" w:fill="D9D9D9" w:themeFill="background1" w:themeFillShade="D9"/>
          </w:tcPr>
          <w:p w14:paraId="2FD2A01E" w14:textId="77777777" w:rsidR="00295199" w:rsidRPr="00AE67EF" w:rsidRDefault="00D6316E" w:rsidP="00AE67EF">
            <w:pPr>
              <w:tabs>
                <w:tab w:val="left" w:pos="284"/>
              </w:tabs>
              <w:spacing w:before="20" w:after="20" w:line="240" w:lineRule="auto"/>
              <w:jc w:val="both"/>
              <w:rPr>
                <w:rFonts w:ascii="Arial" w:hAnsi="Arial" w:cs="Arial"/>
                <w:b/>
                <w:sz w:val="22"/>
                <w:szCs w:val="22"/>
              </w:rPr>
            </w:pPr>
          </w:p>
        </w:tc>
        <w:tc>
          <w:tcPr>
            <w:tcW w:w="1417" w:type="dxa"/>
            <w:shd w:val="clear" w:color="auto" w:fill="D9D9D9" w:themeFill="background1" w:themeFillShade="D9"/>
            <w:tcMar>
              <w:left w:w="57" w:type="dxa"/>
              <w:right w:w="57" w:type="dxa"/>
            </w:tcMar>
          </w:tcPr>
          <w:p w14:paraId="3E55628F" w14:textId="77777777" w:rsidR="00295199" w:rsidRPr="00AE67EF" w:rsidRDefault="00BF0238" w:rsidP="00505ED9">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Substantial</w:t>
            </w:r>
          </w:p>
        </w:tc>
        <w:tc>
          <w:tcPr>
            <w:tcW w:w="1134" w:type="dxa"/>
            <w:shd w:val="clear" w:color="auto" w:fill="D9D9D9" w:themeFill="background1" w:themeFillShade="D9"/>
            <w:tcMar>
              <w:left w:w="57" w:type="dxa"/>
              <w:right w:w="57" w:type="dxa"/>
            </w:tcMar>
          </w:tcPr>
          <w:p w14:paraId="6CB2E29C" w14:textId="77777777" w:rsidR="00295199" w:rsidRPr="00AE67EF" w:rsidRDefault="00BF0238" w:rsidP="00505ED9">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Moderate</w:t>
            </w:r>
          </w:p>
        </w:tc>
        <w:tc>
          <w:tcPr>
            <w:tcW w:w="993" w:type="dxa"/>
            <w:shd w:val="clear" w:color="auto" w:fill="D9D9D9" w:themeFill="background1" w:themeFillShade="D9"/>
            <w:tcMar>
              <w:left w:w="57" w:type="dxa"/>
              <w:right w:w="57" w:type="dxa"/>
            </w:tcMar>
          </w:tcPr>
          <w:p w14:paraId="25AC72A2" w14:textId="77777777" w:rsidR="00295199" w:rsidRPr="00AE67EF" w:rsidRDefault="00BF0238" w:rsidP="00505ED9">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Limited</w:t>
            </w:r>
          </w:p>
        </w:tc>
        <w:tc>
          <w:tcPr>
            <w:tcW w:w="1134" w:type="dxa"/>
            <w:shd w:val="clear" w:color="auto" w:fill="D9D9D9" w:themeFill="background1" w:themeFillShade="D9"/>
            <w:tcMar>
              <w:left w:w="57" w:type="dxa"/>
              <w:right w:w="57" w:type="dxa"/>
            </w:tcMar>
          </w:tcPr>
          <w:p w14:paraId="63B68359" w14:textId="77777777" w:rsidR="00295199" w:rsidRPr="00AE67EF" w:rsidRDefault="00BF0238" w:rsidP="00505ED9">
            <w:pPr>
              <w:tabs>
                <w:tab w:val="left" w:pos="284"/>
              </w:tabs>
              <w:spacing w:before="20" w:after="20" w:line="240" w:lineRule="auto"/>
              <w:jc w:val="center"/>
              <w:rPr>
                <w:rFonts w:ascii="Arial" w:hAnsi="Arial" w:cs="Arial"/>
                <w:b/>
                <w:sz w:val="22"/>
                <w:szCs w:val="22"/>
              </w:rPr>
            </w:pPr>
            <w:r w:rsidRPr="00AE67EF">
              <w:rPr>
                <w:rFonts w:ascii="Arial" w:hAnsi="Arial" w:cs="Arial"/>
                <w:b/>
                <w:sz w:val="22"/>
                <w:szCs w:val="22"/>
              </w:rPr>
              <w:t>None</w:t>
            </w:r>
          </w:p>
        </w:tc>
      </w:tr>
      <w:tr w:rsidR="00E723C3" w14:paraId="443CA076" w14:textId="77777777" w:rsidTr="00505ED9">
        <w:tc>
          <w:tcPr>
            <w:tcW w:w="2552" w:type="dxa"/>
          </w:tcPr>
          <w:p w14:paraId="1CA69590" w14:textId="77777777" w:rsidR="00295199" w:rsidRPr="00AE67EF" w:rsidRDefault="00BF0238"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Governance</w:t>
            </w:r>
          </w:p>
        </w:tc>
        <w:tc>
          <w:tcPr>
            <w:tcW w:w="1134" w:type="dxa"/>
            <w:vAlign w:val="center"/>
          </w:tcPr>
          <w:p w14:paraId="3DC48543" w14:textId="77777777" w:rsidR="00295199" w:rsidRPr="00AE67EF" w:rsidRDefault="00BF0238" w:rsidP="00AE67EF">
            <w:pPr>
              <w:tabs>
                <w:tab w:val="decimal" w:pos="616"/>
              </w:tabs>
              <w:spacing w:before="20" w:after="20" w:line="240" w:lineRule="auto"/>
              <w:jc w:val="both"/>
              <w:rPr>
                <w:rFonts w:ascii="Arial" w:hAnsi="Arial" w:cs="Arial"/>
                <w:sz w:val="22"/>
                <w:szCs w:val="22"/>
              </w:rPr>
            </w:pPr>
            <w:r>
              <w:rPr>
                <w:rFonts w:ascii="Arial" w:hAnsi="Arial" w:cs="Arial"/>
                <w:sz w:val="22"/>
                <w:szCs w:val="22"/>
              </w:rPr>
              <w:t>-</w:t>
            </w:r>
          </w:p>
        </w:tc>
        <w:tc>
          <w:tcPr>
            <w:tcW w:w="1417" w:type="dxa"/>
            <w:vAlign w:val="center"/>
          </w:tcPr>
          <w:p w14:paraId="37392DE9" w14:textId="77777777" w:rsidR="00295199" w:rsidRPr="00AE67EF" w:rsidRDefault="00D6316E" w:rsidP="00AE67EF">
            <w:pPr>
              <w:tabs>
                <w:tab w:val="decimal" w:pos="736"/>
              </w:tabs>
              <w:spacing w:before="20" w:after="20" w:line="240" w:lineRule="auto"/>
              <w:jc w:val="both"/>
              <w:rPr>
                <w:rFonts w:ascii="Arial" w:hAnsi="Arial" w:cs="Arial"/>
                <w:sz w:val="22"/>
                <w:szCs w:val="22"/>
              </w:rPr>
            </w:pPr>
          </w:p>
        </w:tc>
        <w:tc>
          <w:tcPr>
            <w:tcW w:w="1134" w:type="dxa"/>
            <w:vAlign w:val="center"/>
          </w:tcPr>
          <w:p w14:paraId="27A323EE" w14:textId="77777777" w:rsidR="00295199" w:rsidRPr="00AE67EF" w:rsidRDefault="00D6316E" w:rsidP="00AE67EF">
            <w:pPr>
              <w:tabs>
                <w:tab w:val="decimal" w:pos="616"/>
              </w:tabs>
              <w:spacing w:before="20" w:after="20" w:line="240" w:lineRule="auto"/>
              <w:jc w:val="both"/>
              <w:rPr>
                <w:rFonts w:ascii="Arial" w:hAnsi="Arial" w:cs="Arial"/>
                <w:sz w:val="22"/>
                <w:szCs w:val="22"/>
              </w:rPr>
            </w:pPr>
          </w:p>
        </w:tc>
        <w:tc>
          <w:tcPr>
            <w:tcW w:w="993" w:type="dxa"/>
            <w:vAlign w:val="center"/>
          </w:tcPr>
          <w:p w14:paraId="38A62499" w14:textId="77777777" w:rsidR="00295199" w:rsidRPr="00AE67EF" w:rsidRDefault="00D6316E" w:rsidP="00DF6EA3">
            <w:pPr>
              <w:tabs>
                <w:tab w:val="decimal" w:pos="605"/>
              </w:tabs>
              <w:spacing w:before="20" w:after="20" w:line="240" w:lineRule="auto"/>
              <w:jc w:val="both"/>
              <w:rPr>
                <w:rFonts w:ascii="Arial" w:hAnsi="Arial" w:cs="Arial"/>
                <w:sz w:val="22"/>
                <w:szCs w:val="22"/>
              </w:rPr>
            </w:pPr>
          </w:p>
        </w:tc>
        <w:tc>
          <w:tcPr>
            <w:tcW w:w="1134" w:type="dxa"/>
            <w:vAlign w:val="center"/>
          </w:tcPr>
          <w:p w14:paraId="58D6D1D4" w14:textId="77777777" w:rsidR="00295199" w:rsidRPr="00AE67EF" w:rsidRDefault="00D6316E" w:rsidP="00DF6EA3">
            <w:pPr>
              <w:tabs>
                <w:tab w:val="decimal" w:pos="606"/>
              </w:tabs>
              <w:spacing w:before="20" w:after="20" w:line="240" w:lineRule="auto"/>
              <w:jc w:val="both"/>
              <w:rPr>
                <w:rFonts w:ascii="Arial" w:hAnsi="Arial" w:cs="Arial"/>
                <w:sz w:val="22"/>
                <w:szCs w:val="22"/>
              </w:rPr>
            </w:pPr>
          </w:p>
        </w:tc>
      </w:tr>
      <w:tr w:rsidR="00E723C3" w14:paraId="4466FD39" w14:textId="77777777" w:rsidTr="00505ED9">
        <w:tc>
          <w:tcPr>
            <w:tcW w:w="2552" w:type="dxa"/>
          </w:tcPr>
          <w:p w14:paraId="64E49EAA" w14:textId="77777777" w:rsidR="00295199" w:rsidRPr="00AE67EF" w:rsidRDefault="00BF0238"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 xml:space="preserve">Business effectiveness </w:t>
            </w:r>
          </w:p>
        </w:tc>
        <w:tc>
          <w:tcPr>
            <w:tcW w:w="1134" w:type="dxa"/>
            <w:vAlign w:val="center"/>
          </w:tcPr>
          <w:p w14:paraId="31A7CAC2" w14:textId="77777777" w:rsidR="00295199" w:rsidRPr="00AE67EF" w:rsidRDefault="00BF0238" w:rsidP="00AE67EF">
            <w:pPr>
              <w:tabs>
                <w:tab w:val="decimal" w:pos="616"/>
              </w:tabs>
              <w:spacing w:before="20" w:after="20" w:line="240" w:lineRule="auto"/>
              <w:jc w:val="both"/>
              <w:rPr>
                <w:rFonts w:ascii="Arial" w:hAnsi="Arial" w:cs="Arial"/>
                <w:sz w:val="22"/>
                <w:szCs w:val="22"/>
              </w:rPr>
            </w:pPr>
            <w:r>
              <w:rPr>
                <w:rFonts w:ascii="Arial" w:hAnsi="Arial" w:cs="Arial"/>
                <w:sz w:val="22"/>
                <w:szCs w:val="22"/>
              </w:rPr>
              <w:t>1</w:t>
            </w:r>
          </w:p>
        </w:tc>
        <w:tc>
          <w:tcPr>
            <w:tcW w:w="1417" w:type="dxa"/>
            <w:vAlign w:val="center"/>
          </w:tcPr>
          <w:p w14:paraId="0D1A36A4" w14:textId="77777777" w:rsidR="00295199" w:rsidRPr="00AE67EF" w:rsidRDefault="00BF0238" w:rsidP="00AE67EF">
            <w:pPr>
              <w:tabs>
                <w:tab w:val="decimal" w:pos="736"/>
              </w:tabs>
              <w:spacing w:before="20" w:after="20" w:line="240" w:lineRule="auto"/>
              <w:jc w:val="both"/>
              <w:rPr>
                <w:rFonts w:ascii="Arial" w:hAnsi="Arial" w:cs="Arial"/>
                <w:sz w:val="22"/>
                <w:szCs w:val="22"/>
              </w:rPr>
            </w:pPr>
            <w:r>
              <w:rPr>
                <w:rFonts w:ascii="Arial" w:hAnsi="Arial" w:cs="Arial"/>
                <w:sz w:val="22"/>
                <w:szCs w:val="22"/>
              </w:rPr>
              <w:t>1</w:t>
            </w:r>
          </w:p>
        </w:tc>
        <w:tc>
          <w:tcPr>
            <w:tcW w:w="1134" w:type="dxa"/>
            <w:vAlign w:val="center"/>
          </w:tcPr>
          <w:p w14:paraId="41AEF3F7" w14:textId="77777777" w:rsidR="00295199" w:rsidRPr="00AE67EF" w:rsidRDefault="00D6316E" w:rsidP="00AE67EF">
            <w:pPr>
              <w:tabs>
                <w:tab w:val="decimal" w:pos="616"/>
              </w:tabs>
              <w:spacing w:before="20" w:after="20" w:line="240" w:lineRule="auto"/>
              <w:jc w:val="both"/>
              <w:rPr>
                <w:rFonts w:ascii="Arial" w:hAnsi="Arial" w:cs="Arial"/>
                <w:sz w:val="22"/>
                <w:szCs w:val="22"/>
              </w:rPr>
            </w:pPr>
          </w:p>
        </w:tc>
        <w:tc>
          <w:tcPr>
            <w:tcW w:w="993" w:type="dxa"/>
            <w:vAlign w:val="center"/>
          </w:tcPr>
          <w:p w14:paraId="6FD22205" w14:textId="77777777" w:rsidR="00295199" w:rsidRPr="00AE67EF" w:rsidRDefault="00D6316E" w:rsidP="00DF6EA3">
            <w:pPr>
              <w:tabs>
                <w:tab w:val="decimal" w:pos="605"/>
              </w:tabs>
              <w:spacing w:before="20" w:after="20" w:line="240" w:lineRule="auto"/>
              <w:jc w:val="both"/>
              <w:rPr>
                <w:rFonts w:ascii="Arial" w:hAnsi="Arial" w:cs="Arial"/>
                <w:sz w:val="22"/>
                <w:szCs w:val="22"/>
              </w:rPr>
            </w:pPr>
          </w:p>
        </w:tc>
        <w:tc>
          <w:tcPr>
            <w:tcW w:w="1134" w:type="dxa"/>
            <w:vAlign w:val="center"/>
          </w:tcPr>
          <w:p w14:paraId="6B700B1B" w14:textId="77777777" w:rsidR="00295199" w:rsidRPr="00AE67EF" w:rsidRDefault="00D6316E" w:rsidP="00DF6EA3">
            <w:pPr>
              <w:tabs>
                <w:tab w:val="decimal" w:pos="606"/>
              </w:tabs>
              <w:spacing w:before="20" w:after="20" w:line="240" w:lineRule="auto"/>
              <w:jc w:val="both"/>
              <w:rPr>
                <w:rFonts w:ascii="Arial" w:hAnsi="Arial" w:cs="Arial"/>
                <w:sz w:val="22"/>
                <w:szCs w:val="22"/>
              </w:rPr>
            </w:pPr>
          </w:p>
        </w:tc>
      </w:tr>
      <w:tr w:rsidR="00E723C3" w14:paraId="471A77F5" w14:textId="77777777" w:rsidTr="00505ED9">
        <w:tc>
          <w:tcPr>
            <w:tcW w:w="2552" w:type="dxa"/>
            <w:tcBorders>
              <w:bottom w:val="single" w:sz="4" w:space="0" w:color="auto"/>
            </w:tcBorders>
          </w:tcPr>
          <w:p w14:paraId="3E0D5BA2" w14:textId="77777777" w:rsidR="00295199" w:rsidRPr="00AE67EF" w:rsidRDefault="00BF0238"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Service delivery</w:t>
            </w:r>
          </w:p>
        </w:tc>
        <w:tc>
          <w:tcPr>
            <w:tcW w:w="1134" w:type="dxa"/>
            <w:tcBorders>
              <w:bottom w:val="single" w:sz="4" w:space="0" w:color="auto"/>
            </w:tcBorders>
            <w:vAlign w:val="center"/>
          </w:tcPr>
          <w:p w14:paraId="21812D38" w14:textId="77777777" w:rsidR="00295199" w:rsidRPr="00AE67EF" w:rsidRDefault="00BF0238" w:rsidP="00AE67EF">
            <w:pPr>
              <w:tabs>
                <w:tab w:val="decimal" w:pos="616"/>
              </w:tabs>
              <w:spacing w:before="20" w:after="20" w:line="240" w:lineRule="auto"/>
              <w:jc w:val="both"/>
              <w:rPr>
                <w:rFonts w:ascii="Arial" w:hAnsi="Arial" w:cs="Arial"/>
                <w:sz w:val="22"/>
                <w:szCs w:val="22"/>
              </w:rPr>
            </w:pPr>
            <w:r>
              <w:rPr>
                <w:rFonts w:ascii="Arial" w:hAnsi="Arial" w:cs="Arial"/>
                <w:sz w:val="22"/>
                <w:szCs w:val="22"/>
              </w:rPr>
              <w:t>15</w:t>
            </w:r>
          </w:p>
        </w:tc>
        <w:tc>
          <w:tcPr>
            <w:tcW w:w="1417" w:type="dxa"/>
            <w:tcBorders>
              <w:bottom w:val="single" w:sz="4" w:space="0" w:color="auto"/>
            </w:tcBorders>
            <w:vAlign w:val="center"/>
          </w:tcPr>
          <w:p w14:paraId="73B08F3D" w14:textId="77777777" w:rsidR="00295199" w:rsidRPr="00AE67EF" w:rsidRDefault="00BF0238" w:rsidP="00AE67EF">
            <w:pPr>
              <w:tabs>
                <w:tab w:val="decimal" w:pos="736"/>
              </w:tabs>
              <w:spacing w:before="20" w:after="20" w:line="240" w:lineRule="auto"/>
              <w:jc w:val="both"/>
              <w:rPr>
                <w:rFonts w:ascii="Arial" w:hAnsi="Arial" w:cs="Arial"/>
                <w:sz w:val="22"/>
                <w:szCs w:val="22"/>
              </w:rPr>
            </w:pPr>
            <w:r>
              <w:rPr>
                <w:rFonts w:ascii="Arial" w:hAnsi="Arial" w:cs="Arial"/>
                <w:sz w:val="22"/>
                <w:szCs w:val="22"/>
              </w:rPr>
              <w:t>4</w:t>
            </w:r>
          </w:p>
        </w:tc>
        <w:tc>
          <w:tcPr>
            <w:tcW w:w="1134" w:type="dxa"/>
            <w:tcBorders>
              <w:bottom w:val="single" w:sz="4" w:space="0" w:color="auto"/>
            </w:tcBorders>
            <w:vAlign w:val="center"/>
          </w:tcPr>
          <w:p w14:paraId="57740574" w14:textId="77777777" w:rsidR="00295199" w:rsidRPr="00AE67EF" w:rsidRDefault="00BF0238" w:rsidP="00AE67EF">
            <w:pPr>
              <w:tabs>
                <w:tab w:val="decimal" w:pos="616"/>
              </w:tabs>
              <w:spacing w:before="20" w:after="20" w:line="240" w:lineRule="auto"/>
              <w:jc w:val="both"/>
              <w:rPr>
                <w:rFonts w:ascii="Arial" w:hAnsi="Arial" w:cs="Arial"/>
                <w:sz w:val="22"/>
                <w:szCs w:val="22"/>
              </w:rPr>
            </w:pPr>
            <w:r>
              <w:rPr>
                <w:rFonts w:ascii="Arial" w:hAnsi="Arial" w:cs="Arial"/>
                <w:sz w:val="22"/>
                <w:szCs w:val="22"/>
              </w:rPr>
              <w:t>8</w:t>
            </w:r>
          </w:p>
        </w:tc>
        <w:tc>
          <w:tcPr>
            <w:tcW w:w="993" w:type="dxa"/>
            <w:tcBorders>
              <w:bottom w:val="single" w:sz="4" w:space="0" w:color="auto"/>
            </w:tcBorders>
            <w:vAlign w:val="center"/>
          </w:tcPr>
          <w:p w14:paraId="19021B5E" w14:textId="77777777" w:rsidR="00295199" w:rsidRPr="00AE67EF" w:rsidRDefault="00BF0238" w:rsidP="00DF6EA3">
            <w:pPr>
              <w:tabs>
                <w:tab w:val="decimal" w:pos="605"/>
              </w:tabs>
              <w:spacing w:before="20" w:after="20" w:line="240" w:lineRule="auto"/>
              <w:jc w:val="both"/>
              <w:rPr>
                <w:rFonts w:ascii="Arial" w:hAnsi="Arial" w:cs="Arial"/>
                <w:sz w:val="22"/>
                <w:szCs w:val="22"/>
              </w:rPr>
            </w:pPr>
            <w:r>
              <w:rPr>
                <w:rFonts w:ascii="Arial" w:hAnsi="Arial" w:cs="Arial"/>
                <w:sz w:val="22"/>
                <w:szCs w:val="22"/>
              </w:rPr>
              <w:t>3</w:t>
            </w:r>
          </w:p>
        </w:tc>
        <w:tc>
          <w:tcPr>
            <w:tcW w:w="1134" w:type="dxa"/>
            <w:tcBorders>
              <w:bottom w:val="single" w:sz="4" w:space="0" w:color="auto"/>
            </w:tcBorders>
            <w:vAlign w:val="center"/>
          </w:tcPr>
          <w:p w14:paraId="00E0B207" w14:textId="77777777" w:rsidR="00295199" w:rsidRPr="00AE67EF" w:rsidRDefault="00D6316E" w:rsidP="00DF6EA3">
            <w:pPr>
              <w:tabs>
                <w:tab w:val="decimal" w:pos="606"/>
              </w:tabs>
              <w:spacing w:before="20" w:after="20" w:line="240" w:lineRule="auto"/>
              <w:jc w:val="both"/>
              <w:rPr>
                <w:rFonts w:ascii="Arial" w:hAnsi="Arial" w:cs="Arial"/>
                <w:sz w:val="22"/>
                <w:szCs w:val="22"/>
              </w:rPr>
            </w:pPr>
          </w:p>
        </w:tc>
      </w:tr>
      <w:tr w:rsidR="00E723C3" w14:paraId="77205B79" w14:textId="77777777" w:rsidTr="00505ED9">
        <w:tc>
          <w:tcPr>
            <w:tcW w:w="2552" w:type="dxa"/>
            <w:tcBorders>
              <w:bottom w:val="single" w:sz="4" w:space="0" w:color="auto"/>
            </w:tcBorders>
          </w:tcPr>
          <w:p w14:paraId="5D78BB6F" w14:textId="77777777" w:rsidR="00295199" w:rsidRPr="00AE67EF" w:rsidRDefault="00BF0238"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Service support</w:t>
            </w:r>
          </w:p>
        </w:tc>
        <w:tc>
          <w:tcPr>
            <w:tcW w:w="1134" w:type="dxa"/>
            <w:tcBorders>
              <w:bottom w:val="single" w:sz="4" w:space="0" w:color="auto"/>
            </w:tcBorders>
            <w:vAlign w:val="center"/>
          </w:tcPr>
          <w:p w14:paraId="7BBB76EC" w14:textId="77777777" w:rsidR="00295199" w:rsidRPr="00AE67EF" w:rsidRDefault="00BF0238" w:rsidP="00AE67EF">
            <w:pPr>
              <w:tabs>
                <w:tab w:val="decimal" w:pos="616"/>
              </w:tabs>
              <w:spacing w:before="20" w:after="20" w:line="240" w:lineRule="auto"/>
              <w:jc w:val="both"/>
              <w:rPr>
                <w:rFonts w:ascii="Arial" w:hAnsi="Arial" w:cs="Arial"/>
                <w:sz w:val="22"/>
                <w:szCs w:val="22"/>
              </w:rPr>
            </w:pPr>
            <w:r>
              <w:rPr>
                <w:rFonts w:ascii="Arial" w:hAnsi="Arial" w:cs="Arial"/>
                <w:sz w:val="22"/>
                <w:szCs w:val="22"/>
              </w:rPr>
              <w:t>3</w:t>
            </w:r>
          </w:p>
        </w:tc>
        <w:tc>
          <w:tcPr>
            <w:tcW w:w="1417" w:type="dxa"/>
            <w:tcBorders>
              <w:bottom w:val="single" w:sz="4" w:space="0" w:color="auto"/>
            </w:tcBorders>
            <w:vAlign w:val="center"/>
          </w:tcPr>
          <w:p w14:paraId="61CE47A0" w14:textId="77777777" w:rsidR="00295199" w:rsidRPr="00AE67EF" w:rsidRDefault="00BF0238" w:rsidP="00AE67EF">
            <w:pPr>
              <w:tabs>
                <w:tab w:val="decimal" w:pos="736"/>
              </w:tabs>
              <w:spacing w:before="20" w:after="20" w:line="240" w:lineRule="auto"/>
              <w:jc w:val="both"/>
              <w:rPr>
                <w:rFonts w:ascii="Arial" w:hAnsi="Arial" w:cs="Arial"/>
                <w:sz w:val="22"/>
                <w:szCs w:val="22"/>
              </w:rPr>
            </w:pPr>
            <w:r>
              <w:rPr>
                <w:rFonts w:ascii="Arial" w:hAnsi="Arial" w:cs="Arial"/>
                <w:sz w:val="22"/>
                <w:szCs w:val="22"/>
              </w:rPr>
              <w:t>1</w:t>
            </w:r>
          </w:p>
        </w:tc>
        <w:tc>
          <w:tcPr>
            <w:tcW w:w="1134" w:type="dxa"/>
            <w:tcBorders>
              <w:bottom w:val="single" w:sz="4" w:space="0" w:color="auto"/>
            </w:tcBorders>
            <w:vAlign w:val="center"/>
          </w:tcPr>
          <w:p w14:paraId="419EA3C2" w14:textId="77777777" w:rsidR="00295199" w:rsidRPr="00AE67EF" w:rsidRDefault="00BF0238" w:rsidP="00AE67EF">
            <w:pPr>
              <w:tabs>
                <w:tab w:val="decimal" w:pos="616"/>
              </w:tabs>
              <w:spacing w:before="20" w:after="20" w:line="240" w:lineRule="auto"/>
              <w:jc w:val="both"/>
              <w:rPr>
                <w:rFonts w:ascii="Arial" w:hAnsi="Arial" w:cs="Arial"/>
                <w:sz w:val="22"/>
                <w:szCs w:val="22"/>
              </w:rPr>
            </w:pPr>
            <w:r>
              <w:rPr>
                <w:rFonts w:ascii="Arial" w:hAnsi="Arial" w:cs="Arial"/>
                <w:sz w:val="22"/>
                <w:szCs w:val="22"/>
              </w:rPr>
              <w:t>2</w:t>
            </w:r>
          </w:p>
        </w:tc>
        <w:tc>
          <w:tcPr>
            <w:tcW w:w="993" w:type="dxa"/>
            <w:tcBorders>
              <w:bottom w:val="single" w:sz="4" w:space="0" w:color="auto"/>
            </w:tcBorders>
            <w:vAlign w:val="center"/>
          </w:tcPr>
          <w:p w14:paraId="7DFD331F" w14:textId="77777777" w:rsidR="00295199" w:rsidRPr="00AE67EF" w:rsidRDefault="00D6316E" w:rsidP="00DF6EA3">
            <w:pPr>
              <w:tabs>
                <w:tab w:val="decimal" w:pos="605"/>
              </w:tabs>
              <w:spacing w:before="20" w:after="20" w:line="240" w:lineRule="auto"/>
              <w:jc w:val="both"/>
              <w:rPr>
                <w:rFonts w:ascii="Arial" w:hAnsi="Arial" w:cs="Arial"/>
                <w:sz w:val="22"/>
                <w:szCs w:val="22"/>
              </w:rPr>
            </w:pPr>
          </w:p>
        </w:tc>
        <w:tc>
          <w:tcPr>
            <w:tcW w:w="1134" w:type="dxa"/>
            <w:tcBorders>
              <w:bottom w:val="single" w:sz="4" w:space="0" w:color="auto"/>
            </w:tcBorders>
            <w:vAlign w:val="center"/>
          </w:tcPr>
          <w:p w14:paraId="759F30CF" w14:textId="77777777" w:rsidR="00295199" w:rsidRPr="00AE67EF" w:rsidRDefault="00D6316E" w:rsidP="00DF6EA3">
            <w:pPr>
              <w:tabs>
                <w:tab w:val="decimal" w:pos="606"/>
              </w:tabs>
              <w:spacing w:before="20" w:after="20" w:line="240" w:lineRule="auto"/>
              <w:jc w:val="both"/>
              <w:rPr>
                <w:rFonts w:ascii="Arial" w:hAnsi="Arial" w:cs="Arial"/>
                <w:sz w:val="22"/>
                <w:szCs w:val="22"/>
              </w:rPr>
            </w:pPr>
          </w:p>
        </w:tc>
      </w:tr>
      <w:tr w:rsidR="00E723C3" w14:paraId="26A5A344" w14:textId="77777777" w:rsidTr="00505ED9">
        <w:tc>
          <w:tcPr>
            <w:tcW w:w="2552" w:type="dxa"/>
            <w:tcBorders>
              <w:bottom w:val="single" w:sz="4" w:space="0" w:color="auto"/>
            </w:tcBorders>
          </w:tcPr>
          <w:p w14:paraId="2F622EEA" w14:textId="77777777" w:rsidR="00295199" w:rsidRPr="00AE67EF" w:rsidRDefault="00BF0238" w:rsidP="00AE67EF">
            <w:pPr>
              <w:tabs>
                <w:tab w:val="left" w:pos="284"/>
              </w:tabs>
              <w:spacing w:before="20" w:after="20" w:line="240" w:lineRule="auto"/>
              <w:jc w:val="both"/>
              <w:rPr>
                <w:rFonts w:ascii="Arial" w:hAnsi="Arial" w:cs="Arial"/>
                <w:sz w:val="22"/>
                <w:szCs w:val="22"/>
              </w:rPr>
            </w:pPr>
            <w:r w:rsidRPr="00AE67EF">
              <w:rPr>
                <w:rFonts w:ascii="Arial" w:hAnsi="Arial" w:cs="Arial"/>
                <w:sz w:val="22"/>
                <w:szCs w:val="22"/>
              </w:rPr>
              <w:t>Business processes</w:t>
            </w:r>
          </w:p>
        </w:tc>
        <w:tc>
          <w:tcPr>
            <w:tcW w:w="1134" w:type="dxa"/>
            <w:tcBorders>
              <w:bottom w:val="single" w:sz="4" w:space="0" w:color="auto"/>
            </w:tcBorders>
            <w:vAlign w:val="center"/>
          </w:tcPr>
          <w:p w14:paraId="64AE8785" w14:textId="77777777" w:rsidR="00295199" w:rsidRPr="00AE67EF" w:rsidRDefault="00BF0238" w:rsidP="00AE67EF">
            <w:pPr>
              <w:tabs>
                <w:tab w:val="decimal" w:pos="616"/>
              </w:tabs>
              <w:spacing w:before="20" w:after="20" w:line="240" w:lineRule="auto"/>
              <w:jc w:val="both"/>
              <w:rPr>
                <w:rFonts w:ascii="Arial" w:hAnsi="Arial" w:cs="Arial"/>
                <w:sz w:val="22"/>
                <w:szCs w:val="22"/>
              </w:rPr>
            </w:pPr>
            <w:r>
              <w:rPr>
                <w:rFonts w:ascii="Arial" w:hAnsi="Arial" w:cs="Arial"/>
                <w:sz w:val="22"/>
                <w:szCs w:val="22"/>
              </w:rPr>
              <w:t>2</w:t>
            </w:r>
          </w:p>
        </w:tc>
        <w:tc>
          <w:tcPr>
            <w:tcW w:w="1417" w:type="dxa"/>
            <w:tcBorders>
              <w:bottom w:val="single" w:sz="4" w:space="0" w:color="auto"/>
            </w:tcBorders>
            <w:vAlign w:val="center"/>
          </w:tcPr>
          <w:p w14:paraId="1691E238" w14:textId="77777777" w:rsidR="00295199" w:rsidRPr="00AE67EF" w:rsidRDefault="00BF0238" w:rsidP="00AE67EF">
            <w:pPr>
              <w:tabs>
                <w:tab w:val="decimal" w:pos="736"/>
              </w:tabs>
              <w:spacing w:before="20" w:after="20" w:line="240" w:lineRule="auto"/>
              <w:jc w:val="both"/>
              <w:rPr>
                <w:rFonts w:ascii="Arial" w:hAnsi="Arial" w:cs="Arial"/>
                <w:sz w:val="22"/>
                <w:szCs w:val="22"/>
              </w:rPr>
            </w:pPr>
            <w:r>
              <w:rPr>
                <w:rFonts w:ascii="Arial" w:hAnsi="Arial" w:cs="Arial"/>
                <w:sz w:val="22"/>
                <w:szCs w:val="22"/>
              </w:rPr>
              <w:t>2</w:t>
            </w:r>
          </w:p>
        </w:tc>
        <w:tc>
          <w:tcPr>
            <w:tcW w:w="1134" w:type="dxa"/>
            <w:tcBorders>
              <w:bottom w:val="single" w:sz="4" w:space="0" w:color="auto"/>
            </w:tcBorders>
            <w:vAlign w:val="center"/>
          </w:tcPr>
          <w:p w14:paraId="75A03D35" w14:textId="77777777" w:rsidR="00295199" w:rsidRPr="00AE67EF" w:rsidRDefault="00D6316E" w:rsidP="00AE67EF">
            <w:pPr>
              <w:tabs>
                <w:tab w:val="decimal" w:pos="616"/>
              </w:tabs>
              <w:spacing w:before="20" w:after="20" w:line="240" w:lineRule="auto"/>
              <w:jc w:val="both"/>
              <w:rPr>
                <w:rFonts w:ascii="Arial" w:hAnsi="Arial" w:cs="Arial"/>
                <w:sz w:val="22"/>
                <w:szCs w:val="22"/>
              </w:rPr>
            </w:pPr>
          </w:p>
        </w:tc>
        <w:tc>
          <w:tcPr>
            <w:tcW w:w="993" w:type="dxa"/>
            <w:tcBorders>
              <w:bottom w:val="single" w:sz="4" w:space="0" w:color="auto"/>
            </w:tcBorders>
            <w:vAlign w:val="center"/>
          </w:tcPr>
          <w:p w14:paraId="1F59034E" w14:textId="77777777" w:rsidR="00295199" w:rsidRPr="00AE67EF" w:rsidRDefault="00D6316E" w:rsidP="00DF6EA3">
            <w:pPr>
              <w:tabs>
                <w:tab w:val="decimal" w:pos="605"/>
              </w:tabs>
              <w:spacing w:before="20" w:after="20" w:line="240" w:lineRule="auto"/>
              <w:jc w:val="both"/>
              <w:rPr>
                <w:rFonts w:ascii="Arial" w:hAnsi="Arial" w:cs="Arial"/>
                <w:sz w:val="22"/>
                <w:szCs w:val="22"/>
              </w:rPr>
            </w:pPr>
          </w:p>
        </w:tc>
        <w:tc>
          <w:tcPr>
            <w:tcW w:w="1134" w:type="dxa"/>
            <w:tcBorders>
              <w:bottom w:val="single" w:sz="4" w:space="0" w:color="auto"/>
            </w:tcBorders>
            <w:vAlign w:val="center"/>
          </w:tcPr>
          <w:p w14:paraId="34E0944A" w14:textId="77777777" w:rsidR="00295199" w:rsidRPr="00AE67EF" w:rsidRDefault="00D6316E" w:rsidP="00DF6EA3">
            <w:pPr>
              <w:tabs>
                <w:tab w:val="decimal" w:pos="606"/>
              </w:tabs>
              <w:spacing w:before="20" w:after="20" w:line="240" w:lineRule="auto"/>
              <w:jc w:val="both"/>
              <w:rPr>
                <w:rFonts w:ascii="Arial" w:hAnsi="Arial" w:cs="Arial"/>
                <w:sz w:val="22"/>
                <w:szCs w:val="22"/>
              </w:rPr>
            </w:pPr>
          </w:p>
        </w:tc>
      </w:tr>
      <w:tr w:rsidR="00E723C3" w14:paraId="5488B47F" w14:textId="77777777" w:rsidTr="00505ED9">
        <w:tc>
          <w:tcPr>
            <w:tcW w:w="2552" w:type="dxa"/>
            <w:vMerge w:val="restart"/>
          </w:tcPr>
          <w:p w14:paraId="3B752D03" w14:textId="77777777" w:rsidR="00295199" w:rsidRPr="00AE67EF" w:rsidRDefault="00BF0238" w:rsidP="00505ED9">
            <w:pPr>
              <w:tabs>
                <w:tab w:val="left" w:pos="284"/>
              </w:tabs>
              <w:spacing w:before="20" w:after="20" w:line="240" w:lineRule="auto"/>
              <w:rPr>
                <w:rFonts w:ascii="Arial" w:hAnsi="Arial" w:cs="Arial"/>
                <w:b/>
                <w:sz w:val="22"/>
                <w:szCs w:val="22"/>
              </w:rPr>
            </w:pPr>
            <w:r w:rsidRPr="00AE67EF">
              <w:rPr>
                <w:rFonts w:ascii="Arial" w:hAnsi="Arial" w:cs="Arial"/>
                <w:b/>
                <w:sz w:val="22"/>
                <w:szCs w:val="22"/>
              </w:rPr>
              <w:t>2019/20 assignments: total to date</w:t>
            </w:r>
          </w:p>
        </w:tc>
        <w:tc>
          <w:tcPr>
            <w:tcW w:w="1134" w:type="dxa"/>
          </w:tcPr>
          <w:p w14:paraId="194CA69B" w14:textId="77777777" w:rsidR="00295199" w:rsidRPr="00AE67EF" w:rsidRDefault="00BF0238" w:rsidP="00AE67EF">
            <w:pPr>
              <w:tabs>
                <w:tab w:val="decimal" w:pos="616"/>
              </w:tabs>
              <w:spacing w:before="20" w:after="20" w:line="240" w:lineRule="auto"/>
              <w:jc w:val="both"/>
              <w:rPr>
                <w:rFonts w:ascii="Arial" w:hAnsi="Arial" w:cs="Arial"/>
                <w:b/>
                <w:sz w:val="22"/>
                <w:szCs w:val="22"/>
              </w:rPr>
            </w:pPr>
            <w:r>
              <w:rPr>
                <w:rFonts w:ascii="Arial" w:hAnsi="Arial" w:cs="Arial"/>
                <w:b/>
                <w:sz w:val="22"/>
                <w:szCs w:val="22"/>
              </w:rPr>
              <w:t>21</w:t>
            </w:r>
          </w:p>
        </w:tc>
        <w:tc>
          <w:tcPr>
            <w:tcW w:w="1417" w:type="dxa"/>
          </w:tcPr>
          <w:p w14:paraId="2CA04BF8" w14:textId="77777777" w:rsidR="00295199" w:rsidRPr="00AE67EF" w:rsidRDefault="00BF0238" w:rsidP="00AE67EF">
            <w:pPr>
              <w:tabs>
                <w:tab w:val="decimal" w:pos="736"/>
              </w:tabs>
              <w:spacing w:before="20" w:after="20" w:line="240" w:lineRule="auto"/>
              <w:jc w:val="both"/>
              <w:rPr>
                <w:rFonts w:ascii="Arial" w:hAnsi="Arial" w:cs="Arial"/>
                <w:b/>
                <w:bCs/>
                <w:sz w:val="22"/>
                <w:szCs w:val="22"/>
              </w:rPr>
            </w:pPr>
            <w:r>
              <w:rPr>
                <w:rFonts w:ascii="Arial" w:hAnsi="Arial" w:cs="Arial"/>
                <w:b/>
                <w:bCs/>
                <w:sz w:val="22"/>
                <w:szCs w:val="22"/>
              </w:rPr>
              <w:t>8</w:t>
            </w:r>
          </w:p>
        </w:tc>
        <w:tc>
          <w:tcPr>
            <w:tcW w:w="1134" w:type="dxa"/>
          </w:tcPr>
          <w:p w14:paraId="1C8F43C2" w14:textId="77777777" w:rsidR="00295199" w:rsidRPr="00AE67EF" w:rsidRDefault="00BF0238" w:rsidP="00AE67EF">
            <w:pPr>
              <w:tabs>
                <w:tab w:val="decimal" w:pos="616"/>
              </w:tabs>
              <w:spacing w:before="20" w:after="20" w:line="240" w:lineRule="auto"/>
              <w:jc w:val="both"/>
              <w:rPr>
                <w:rFonts w:ascii="Arial" w:hAnsi="Arial" w:cs="Arial"/>
                <w:b/>
                <w:bCs/>
                <w:sz w:val="22"/>
                <w:szCs w:val="22"/>
              </w:rPr>
            </w:pPr>
            <w:r>
              <w:rPr>
                <w:rFonts w:ascii="Arial" w:hAnsi="Arial" w:cs="Arial"/>
                <w:b/>
                <w:bCs/>
                <w:sz w:val="22"/>
                <w:szCs w:val="22"/>
              </w:rPr>
              <w:t>10</w:t>
            </w:r>
          </w:p>
        </w:tc>
        <w:tc>
          <w:tcPr>
            <w:tcW w:w="993" w:type="dxa"/>
          </w:tcPr>
          <w:p w14:paraId="3F273B13" w14:textId="77777777" w:rsidR="00295199" w:rsidRPr="00AE67EF" w:rsidRDefault="00BF0238" w:rsidP="00DF6EA3">
            <w:pPr>
              <w:tabs>
                <w:tab w:val="decimal" w:pos="605"/>
              </w:tabs>
              <w:spacing w:before="20" w:after="20" w:line="240" w:lineRule="auto"/>
              <w:jc w:val="both"/>
              <w:rPr>
                <w:rFonts w:ascii="Arial" w:hAnsi="Arial" w:cs="Arial"/>
                <w:b/>
                <w:bCs/>
                <w:sz w:val="22"/>
                <w:szCs w:val="22"/>
              </w:rPr>
            </w:pPr>
            <w:r>
              <w:rPr>
                <w:rFonts w:ascii="Arial" w:hAnsi="Arial" w:cs="Arial"/>
                <w:b/>
                <w:bCs/>
                <w:sz w:val="22"/>
                <w:szCs w:val="22"/>
              </w:rPr>
              <w:t>3</w:t>
            </w:r>
          </w:p>
        </w:tc>
        <w:tc>
          <w:tcPr>
            <w:tcW w:w="1134" w:type="dxa"/>
          </w:tcPr>
          <w:p w14:paraId="5F121A52" w14:textId="77777777" w:rsidR="00295199" w:rsidRPr="00AE67EF" w:rsidRDefault="00BF0238" w:rsidP="00DF6EA3">
            <w:pPr>
              <w:tabs>
                <w:tab w:val="decimal" w:pos="606"/>
              </w:tabs>
              <w:spacing w:before="20" w:after="20" w:line="240" w:lineRule="auto"/>
              <w:jc w:val="both"/>
              <w:rPr>
                <w:rFonts w:ascii="Arial" w:hAnsi="Arial" w:cs="Arial"/>
                <w:b/>
                <w:bCs/>
                <w:sz w:val="22"/>
                <w:szCs w:val="22"/>
              </w:rPr>
            </w:pPr>
            <w:r>
              <w:rPr>
                <w:rFonts w:ascii="Arial" w:hAnsi="Arial" w:cs="Arial"/>
                <w:b/>
                <w:bCs/>
                <w:sz w:val="22"/>
                <w:szCs w:val="22"/>
              </w:rPr>
              <w:t>-</w:t>
            </w:r>
          </w:p>
        </w:tc>
      </w:tr>
      <w:tr w:rsidR="00E723C3" w14:paraId="560B6EEE" w14:textId="77777777" w:rsidTr="00505ED9">
        <w:tc>
          <w:tcPr>
            <w:tcW w:w="2552" w:type="dxa"/>
            <w:vMerge/>
            <w:tcBorders>
              <w:bottom w:val="double" w:sz="4" w:space="0" w:color="auto"/>
            </w:tcBorders>
          </w:tcPr>
          <w:p w14:paraId="1B815DE1" w14:textId="77777777" w:rsidR="00295199" w:rsidRPr="00AE67EF" w:rsidRDefault="00D6316E" w:rsidP="00AE67EF">
            <w:pPr>
              <w:tabs>
                <w:tab w:val="left" w:pos="284"/>
              </w:tabs>
              <w:spacing w:before="20" w:after="20" w:line="240" w:lineRule="auto"/>
              <w:jc w:val="both"/>
              <w:rPr>
                <w:rFonts w:ascii="Arial" w:hAnsi="Arial" w:cs="Arial"/>
                <w:b/>
                <w:sz w:val="22"/>
                <w:szCs w:val="22"/>
              </w:rPr>
            </w:pPr>
          </w:p>
        </w:tc>
        <w:tc>
          <w:tcPr>
            <w:tcW w:w="1134" w:type="dxa"/>
            <w:tcBorders>
              <w:bottom w:val="double" w:sz="4" w:space="0" w:color="auto"/>
            </w:tcBorders>
            <w:vAlign w:val="center"/>
          </w:tcPr>
          <w:p w14:paraId="4CFB503D" w14:textId="77777777" w:rsidR="00295199" w:rsidRPr="00AE67EF" w:rsidRDefault="00BF0238" w:rsidP="00AE67EF">
            <w:pPr>
              <w:tabs>
                <w:tab w:val="decimal" w:pos="616"/>
              </w:tabs>
              <w:spacing w:before="20" w:after="20" w:line="240" w:lineRule="auto"/>
              <w:jc w:val="both"/>
              <w:rPr>
                <w:rFonts w:ascii="Arial" w:hAnsi="Arial" w:cs="Arial"/>
                <w:b/>
                <w:sz w:val="22"/>
                <w:szCs w:val="22"/>
              </w:rPr>
            </w:pPr>
            <w:r w:rsidRPr="00AE67EF">
              <w:rPr>
                <w:rFonts w:ascii="Arial" w:hAnsi="Arial" w:cs="Arial"/>
                <w:sz w:val="22"/>
                <w:szCs w:val="22"/>
              </w:rPr>
              <w:t>100%</w:t>
            </w:r>
          </w:p>
        </w:tc>
        <w:tc>
          <w:tcPr>
            <w:tcW w:w="1417" w:type="dxa"/>
            <w:tcBorders>
              <w:bottom w:val="double" w:sz="4" w:space="0" w:color="auto"/>
            </w:tcBorders>
            <w:vAlign w:val="center"/>
          </w:tcPr>
          <w:p w14:paraId="60420348" w14:textId="77777777" w:rsidR="00295199" w:rsidRPr="00AE67EF" w:rsidRDefault="00BF0238" w:rsidP="00AE67EF">
            <w:pPr>
              <w:tabs>
                <w:tab w:val="decimal" w:pos="736"/>
              </w:tabs>
              <w:spacing w:before="20" w:after="20" w:line="240" w:lineRule="auto"/>
              <w:jc w:val="both"/>
              <w:rPr>
                <w:rFonts w:ascii="Arial" w:hAnsi="Arial" w:cs="Arial"/>
                <w:bCs/>
                <w:sz w:val="22"/>
                <w:szCs w:val="22"/>
              </w:rPr>
            </w:pPr>
            <w:r>
              <w:rPr>
                <w:rFonts w:ascii="Arial" w:hAnsi="Arial" w:cs="Arial"/>
                <w:bCs/>
                <w:sz w:val="22"/>
                <w:szCs w:val="22"/>
              </w:rPr>
              <w:t>38</w:t>
            </w:r>
            <w:r w:rsidRPr="00AE67EF">
              <w:rPr>
                <w:rFonts w:ascii="Arial" w:hAnsi="Arial" w:cs="Arial"/>
                <w:bCs/>
                <w:sz w:val="22"/>
                <w:szCs w:val="22"/>
              </w:rPr>
              <w:t>%</w:t>
            </w:r>
          </w:p>
        </w:tc>
        <w:tc>
          <w:tcPr>
            <w:tcW w:w="1134" w:type="dxa"/>
            <w:tcBorders>
              <w:bottom w:val="double" w:sz="4" w:space="0" w:color="auto"/>
            </w:tcBorders>
            <w:vAlign w:val="center"/>
          </w:tcPr>
          <w:p w14:paraId="5F84DA2A" w14:textId="77777777" w:rsidR="00295199" w:rsidRPr="00AE67EF" w:rsidRDefault="00BF0238" w:rsidP="00AE67EF">
            <w:pPr>
              <w:tabs>
                <w:tab w:val="decimal" w:pos="616"/>
              </w:tabs>
              <w:spacing w:before="20" w:after="20" w:line="240" w:lineRule="auto"/>
              <w:jc w:val="both"/>
              <w:rPr>
                <w:rFonts w:ascii="Arial" w:hAnsi="Arial" w:cs="Arial"/>
                <w:bCs/>
                <w:sz w:val="22"/>
                <w:szCs w:val="22"/>
              </w:rPr>
            </w:pPr>
            <w:r>
              <w:rPr>
                <w:rFonts w:ascii="Arial" w:hAnsi="Arial" w:cs="Arial"/>
                <w:bCs/>
                <w:sz w:val="22"/>
                <w:szCs w:val="22"/>
              </w:rPr>
              <w:t>48</w:t>
            </w:r>
            <w:r w:rsidRPr="00AE67EF">
              <w:rPr>
                <w:rFonts w:ascii="Arial" w:hAnsi="Arial" w:cs="Arial"/>
                <w:bCs/>
                <w:sz w:val="22"/>
                <w:szCs w:val="22"/>
              </w:rPr>
              <w:t>%</w:t>
            </w:r>
          </w:p>
        </w:tc>
        <w:tc>
          <w:tcPr>
            <w:tcW w:w="993" w:type="dxa"/>
            <w:tcBorders>
              <w:bottom w:val="double" w:sz="4" w:space="0" w:color="auto"/>
            </w:tcBorders>
            <w:vAlign w:val="center"/>
          </w:tcPr>
          <w:p w14:paraId="06B26483" w14:textId="77777777" w:rsidR="00295199" w:rsidRPr="00AE67EF" w:rsidRDefault="00BF0238" w:rsidP="00DF6EA3">
            <w:pPr>
              <w:tabs>
                <w:tab w:val="decimal" w:pos="605"/>
              </w:tabs>
              <w:spacing w:before="20" w:after="20" w:line="240" w:lineRule="auto"/>
              <w:jc w:val="both"/>
              <w:rPr>
                <w:rFonts w:ascii="Arial" w:hAnsi="Arial" w:cs="Arial"/>
                <w:bCs/>
                <w:sz w:val="22"/>
                <w:szCs w:val="22"/>
              </w:rPr>
            </w:pPr>
            <w:r>
              <w:rPr>
                <w:rFonts w:ascii="Arial" w:hAnsi="Arial" w:cs="Arial"/>
                <w:bCs/>
                <w:sz w:val="22"/>
                <w:szCs w:val="22"/>
              </w:rPr>
              <w:t>14</w:t>
            </w:r>
            <w:r w:rsidRPr="00AE67EF">
              <w:rPr>
                <w:rFonts w:ascii="Arial" w:hAnsi="Arial" w:cs="Arial"/>
                <w:bCs/>
                <w:sz w:val="22"/>
                <w:szCs w:val="22"/>
              </w:rPr>
              <w:t>%</w:t>
            </w:r>
          </w:p>
        </w:tc>
        <w:tc>
          <w:tcPr>
            <w:tcW w:w="1134" w:type="dxa"/>
            <w:tcBorders>
              <w:bottom w:val="double" w:sz="4" w:space="0" w:color="auto"/>
            </w:tcBorders>
            <w:vAlign w:val="center"/>
          </w:tcPr>
          <w:p w14:paraId="04C6B49C" w14:textId="77777777" w:rsidR="00295199" w:rsidRPr="00AE67EF" w:rsidRDefault="00BF0238" w:rsidP="00DF6EA3">
            <w:pPr>
              <w:tabs>
                <w:tab w:val="decimal" w:pos="606"/>
              </w:tabs>
              <w:spacing w:before="20" w:after="20" w:line="240" w:lineRule="auto"/>
              <w:jc w:val="both"/>
              <w:rPr>
                <w:rFonts w:ascii="Arial" w:hAnsi="Arial" w:cs="Arial"/>
                <w:bCs/>
                <w:sz w:val="22"/>
                <w:szCs w:val="22"/>
              </w:rPr>
            </w:pPr>
            <w:r w:rsidRPr="00AE67EF">
              <w:rPr>
                <w:rFonts w:ascii="Arial" w:hAnsi="Arial" w:cs="Arial"/>
                <w:bCs/>
                <w:sz w:val="22"/>
                <w:szCs w:val="22"/>
              </w:rPr>
              <w:t>-</w:t>
            </w:r>
          </w:p>
        </w:tc>
      </w:tr>
    </w:tbl>
    <w:p w14:paraId="0FAB8B63" w14:textId="77777777" w:rsidR="000E1FF9" w:rsidRDefault="00BF0238" w:rsidP="00EB15E9">
      <w:pPr>
        <w:pStyle w:val="Rparagraph"/>
      </w:pPr>
      <w:r>
        <w:t>B</w:t>
      </w:r>
      <w:r w:rsidRPr="00AD5BD2">
        <w:t>rief information about the outcomes of each of the audit engagements competed</w:t>
      </w:r>
      <w:r>
        <w:t xml:space="preserve"> is set out below in </w:t>
      </w:r>
      <w:r w:rsidRPr="002E0618">
        <w:t>section 5 onwards</w:t>
      </w:r>
      <w:r>
        <w:t>:</w:t>
      </w:r>
    </w:p>
    <w:p w14:paraId="430F1029" w14:textId="77777777" w:rsidR="000E1FF9" w:rsidRPr="0053125F" w:rsidRDefault="00BF0238" w:rsidP="00D6316E">
      <w:pPr>
        <w:pStyle w:val="Rbullet"/>
        <w:spacing w:before="0" w:after="80"/>
      </w:pPr>
      <w:r w:rsidRPr="0053125F">
        <w:t>Risk management</w:t>
      </w:r>
    </w:p>
    <w:p w14:paraId="33EBBB67" w14:textId="77777777" w:rsidR="000E1FF9" w:rsidRPr="0053125F" w:rsidRDefault="00BF0238" w:rsidP="00D6316E">
      <w:pPr>
        <w:pStyle w:val="Rbullet"/>
        <w:spacing w:before="0" w:after="80"/>
      </w:pPr>
      <w:r w:rsidRPr="0053125F">
        <w:t>Older People Service's audit and assurance arrangements</w:t>
      </w:r>
    </w:p>
    <w:p w14:paraId="75813555" w14:textId="77777777" w:rsidR="000E1FF9" w:rsidRPr="0053125F" w:rsidRDefault="00BF0238" w:rsidP="00D6316E">
      <w:pPr>
        <w:pStyle w:val="Rbullet"/>
        <w:spacing w:before="0" w:after="80"/>
      </w:pPr>
      <w:r w:rsidRPr="0053125F">
        <w:t>Safeguarding service user finances in the Supported Living Service</w:t>
      </w:r>
    </w:p>
    <w:p w14:paraId="78E7F2B0" w14:textId="77777777" w:rsidR="0053125F" w:rsidRPr="0053125F" w:rsidRDefault="00BF0238" w:rsidP="00D6316E">
      <w:pPr>
        <w:pStyle w:val="Rbullet"/>
        <w:spacing w:before="0" w:after="80"/>
      </w:pPr>
      <w:r w:rsidRPr="0053125F">
        <w:t>Shared lives recruitment</w:t>
      </w:r>
    </w:p>
    <w:p w14:paraId="75565108" w14:textId="77777777" w:rsidR="000E1FF9" w:rsidRPr="0053125F" w:rsidRDefault="00BF0238" w:rsidP="00D6316E">
      <w:pPr>
        <w:pStyle w:val="Rbullet"/>
        <w:spacing w:before="0" w:after="80"/>
      </w:pPr>
      <w:r w:rsidRPr="0053125F">
        <w:t>Handling VIP enquiries within the Health, Equity and Partnerships service</w:t>
      </w:r>
    </w:p>
    <w:p w14:paraId="0B6F8CEE" w14:textId="77777777" w:rsidR="000E1FF9" w:rsidRPr="0053125F" w:rsidRDefault="00BF0238" w:rsidP="00D6316E">
      <w:pPr>
        <w:pStyle w:val="Rbullet"/>
        <w:spacing w:before="0" w:after="80"/>
      </w:pPr>
      <w:r w:rsidRPr="0053125F">
        <w:t>Safe Trader scheme</w:t>
      </w:r>
    </w:p>
    <w:p w14:paraId="517E4506" w14:textId="77777777" w:rsidR="000E1FF9" w:rsidRPr="0053125F" w:rsidRDefault="00BF0238" w:rsidP="00D6316E">
      <w:pPr>
        <w:pStyle w:val="Rbullet"/>
        <w:spacing w:before="0" w:after="80"/>
      </w:pPr>
      <w:r w:rsidRPr="0053125F">
        <w:t>Children's direct payments</w:t>
      </w:r>
    </w:p>
    <w:p w14:paraId="742AEAB7" w14:textId="77777777" w:rsidR="000E1FF9" w:rsidRPr="0053125F" w:rsidRDefault="00BF0238" w:rsidP="00D6316E">
      <w:pPr>
        <w:pStyle w:val="Rbullet"/>
        <w:spacing w:before="0" w:after="80"/>
      </w:pPr>
      <w:r w:rsidRPr="0053125F">
        <w:t>Children's Services' in-service audit framework</w:t>
      </w:r>
    </w:p>
    <w:p w14:paraId="2D7B7222" w14:textId="77777777" w:rsidR="000E1FF9" w:rsidRPr="0053125F" w:rsidRDefault="00BF0238" w:rsidP="00D6316E">
      <w:pPr>
        <w:pStyle w:val="Rbullet"/>
        <w:spacing w:before="0" w:after="80"/>
      </w:pPr>
      <w:r w:rsidRPr="0053125F">
        <w:t>Schools' procurement processes</w:t>
      </w:r>
    </w:p>
    <w:p w14:paraId="73D63B5F" w14:textId="77777777" w:rsidR="000A0C3E" w:rsidRDefault="00BF0238" w:rsidP="00D6316E">
      <w:pPr>
        <w:pStyle w:val="Rbullet"/>
        <w:spacing w:before="0" w:after="80"/>
      </w:pPr>
      <w:r w:rsidRPr="0053125F">
        <w:t>Management and monitoring of system changes</w:t>
      </w:r>
    </w:p>
    <w:p w14:paraId="7CB08E1D" w14:textId="77777777" w:rsidR="00576DAD" w:rsidRPr="0053125F" w:rsidRDefault="00BF0238" w:rsidP="00D6316E">
      <w:pPr>
        <w:pStyle w:val="Rbullet"/>
        <w:spacing w:before="0" w:after="80"/>
      </w:pPr>
      <w:r>
        <w:t>Highways authority funding</w:t>
      </w:r>
    </w:p>
    <w:p w14:paraId="1C48F03D" w14:textId="77777777" w:rsidR="005245D1" w:rsidRDefault="00BF0238" w:rsidP="00EB15E9">
      <w:pPr>
        <w:pStyle w:val="Rparagraph"/>
      </w:pPr>
      <w:r>
        <w:lastRenderedPageBreak/>
        <w:t>As described in the audit plan for the year, audit work may be directed towards understanding the control framework of a service, system or process (the first phase of a full audit), testing the operation of an established control framework (the second phase of a full audit), or both (a full risk and control evaluation audit). Each audit in the plan has therefore accordingly been designated as 'type 1', 'type 2' or 'type 1+2', and this broadly indicates the scope of the assurance we can give.</w:t>
      </w:r>
    </w:p>
    <w:p w14:paraId="353517D2" w14:textId="77777777" w:rsidR="00A23158" w:rsidRDefault="00BF0238" w:rsidP="00951213">
      <w:pPr>
        <w:pStyle w:val="Rheading"/>
      </w:pPr>
      <w:r>
        <w:t>Amendments to the audit plan for 2019/20</w:t>
      </w:r>
    </w:p>
    <w:p w14:paraId="50DFADF4" w14:textId="77777777" w:rsidR="00365C44" w:rsidRPr="00365C44" w:rsidRDefault="00BF0238" w:rsidP="002A03D2">
      <w:pPr>
        <w:pStyle w:val="Rparagraph"/>
      </w:pPr>
      <w:r>
        <w:t>The audit plan must necessarily be flexible, as was noted when the audit plan was agreed, and a small number of changes have been made relating to work on c</w:t>
      </w:r>
      <w:r w:rsidRPr="00365C44">
        <w:t>orporate performance management</w:t>
      </w:r>
      <w:r>
        <w:t>, p</w:t>
      </w:r>
      <w:r w:rsidRPr="00365C44">
        <w:t>revention of child exploitation</w:t>
      </w:r>
      <w:r>
        <w:t xml:space="preserve"> and </w:t>
      </w:r>
      <w:r w:rsidRPr="00F22FB8">
        <w:rPr>
          <w:rFonts w:cs="Arial"/>
          <w:szCs w:val="24"/>
        </w:rPr>
        <w:t>Oracle user access improvement</w:t>
      </w:r>
      <w:r>
        <w:rPr>
          <w:rFonts w:cs="Arial"/>
          <w:szCs w:val="24"/>
        </w:rPr>
        <w:t>.</w:t>
      </w:r>
    </w:p>
    <w:p w14:paraId="30213B3D" w14:textId="77777777" w:rsidR="00365C44" w:rsidRPr="00365C44" w:rsidRDefault="00BF0238" w:rsidP="00225771">
      <w:pPr>
        <w:pStyle w:val="Rsub-heading"/>
      </w:pPr>
      <w:r w:rsidRPr="00365C44">
        <w:t>Corporate performance management</w:t>
      </w:r>
    </w:p>
    <w:p w14:paraId="05EA6596" w14:textId="77777777" w:rsidR="00A6590A" w:rsidRDefault="00BF0238" w:rsidP="00463ABD">
      <w:pPr>
        <w:pStyle w:val="Rparagraph"/>
      </w:pPr>
      <w:r w:rsidRPr="008A044D">
        <w:t xml:space="preserve">Following </w:t>
      </w:r>
      <w:r>
        <w:t xml:space="preserve">the Full Council's </w:t>
      </w:r>
      <w:r w:rsidRPr="008A044D">
        <w:t xml:space="preserve">agreement of the Corporate Strategy in February 2019, members of the </w:t>
      </w:r>
      <w:r>
        <w:t>council's scrutiny c</w:t>
      </w:r>
      <w:r w:rsidRPr="008A044D">
        <w:t>ommittee</w:t>
      </w:r>
      <w:r>
        <w:t>s debated a suite of proposed key metrics by which achievement of the corporate objectives would be measured. These metrics were agreed by the Cabinet Committee on Performance Improvement in October 2019 and targets are now being identified for each. Whilst it was originally intended to report performance under the new measures from February 2020 this has been delayed. We will therefore defer this work and include it in the audit plan for 2020/21 when we will be able to consider the adequacy and effectiveness of the new arrangements using the revised metrics and targets.</w:t>
      </w:r>
    </w:p>
    <w:p w14:paraId="0C47D77B" w14:textId="77777777" w:rsidR="00A6590A" w:rsidRDefault="00BF0238" w:rsidP="00A6590A">
      <w:pPr>
        <w:pStyle w:val="Rparagraph"/>
      </w:pPr>
      <w:r>
        <w:t>Our previous review of corporate performance monitoring arrangements, which was completed in April 2017, confirmed that the controls in place to monitor and report the council's performance were adequate and effective overall.</w:t>
      </w:r>
    </w:p>
    <w:p w14:paraId="3B222EB3" w14:textId="77777777" w:rsidR="00365C44" w:rsidRPr="00365C44" w:rsidRDefault="00BF0238" w:rsidP="00225771">
      <w:pPr>
        <w:pStyle w:val="Rsub-heading"/>
      </w:pPr>
      <w:r w:rsidRPr="00365C44">
        <w:t>Prevention of child exploitation</w:t>
      </w:r>
    </w:p>
    <w:p w14:paraId="29665887" w14:textId="77777777" w:rsidR="00365C44" w:rsidRDefault="00BF0238" w:rsidP="00365C44">
      <w:pPr>
        <w:pStyle w:val="Rparagraph"/>
      </w:pPr>
      <w:r>
        <w:t xml:space="preserve">Following the arrival of new senior managers and directors, the council's responses to the risks of child exploitation have been reviewed and a revised </w:t>
      </w:r>
      <w:proofErr w:type="gramStart"/>
      <w:r>
        <w:t>action</w:t>
      </w:r>
      <w:proofErr w:type="gramEnd"/>
      <w:r>
        <w:t xml:space="preserve"> plan has been developed to address issues including practice improvement, arrangements for governance and management oversight, and internal HR issues. The actions that were agreed with the previous managers have therefore been amended and are no longer directly relevant, so they have been reported as superseded in the audit action log. The audit that was planned for the current year has been deferred into 2020/21 and, if any further actions are agreed as a result of that work, they will be logged and followed up at that point.</w:t>
      </w:r>
    </w:p>
    <w:p w14:paraId="565F022B" w14:textId="77777777" w:rsidR="00A6590A" w:rsidRDefault="00BF0238" w:rsidP="00225771">
      <w:pPr>
        <w:pStyle w:val="Rsub-heading"/>
      </w:pPr>
      <w:r>
        <w:t>Oracle user access improvement plan</w:t>
      </w:r>
    </w:p>
    <w:p w14:paraId="15E2FE45" w14:textId="77777777" w:rsidR="00365C44" w:rsidRDefault="00BF0238" w:rsidP="00365C44">
      <w:pPr>
        <w:pStyle w:val="Rparagraph"/>
        <w:rPr>
          <w:rFonts w:eastAsia="Times New Roman"/>
          <w:color w:val="000000"/>
          <w:lang w:eastAsia="en-GB"/>
        </w:rPr>
      </w:pPr>
      <w:r>
        <w:t xml:space="preserve">In July 2018/19, we completed a review of Oracle user access permissions, which provided moderate assurance that there is an adequate and effective </w:t>
      </w:r>
      <w:r w:rsidRPr="007C42C4">
        <w:rPr>
          <w:rFonts w:eastAsia="Times New Roman"/>
          <w:color w:val="000000"/>
          <w:lang w:eastAsia="en-GB"/>
        </w:rPr>
        <w:t xml:space="preserve">control framework in place to protect </w:t>
      </w:r>
      <w:r>
        <w:rPr>
          <w:rFonts w:eastAsia="Times New Roman"/>
          <w:color w:val="000000"/>
          <w:lang w:eastAsia="en-GB"/>
        </w:rPr>
        <w:t>Oracle</w:t>
      </w:r>
      <w:r w:rsidRPr="007C42C4">
        <w:rPr>
          <w:rFonts w:eastAsia="Times New Roman"/>
          <w:color w:val="000000"/>
          <w:lang w:eastAsia="en-GB"/>
        </w:rPr>
        <w:t xml:space="preserve"> against unauthorised access</w:t>
      </w:r>
      <w:r>
        <w:rPr>
          <w:rFonts w:eastAsia="Times New Roman"/>
          <w:color w:val="000000"/>
          <w:lang w:eastAsia="en-GB"/>
        </w:rPr>
        <w:t>.</w:t>
      </w:r>
      <w:r w:rsidRPr="007C42C4">
        <w:rPr>
          <w:rFonts w:eastAsia="Times New Roman"/>
          <w:color w:val="000000"/>
          <w:lang w:eastAsia="en-GB"/>
        </w:rPr>
        <w:t xml:space="preserve"> </w:t>
      </w:r>
    </w:p>
    <w:p w14:paraId="40415DF4" w14:textId="77777777" w:rsidR="00365C44" w:rsidRPr="007C2B51" w:rsidRDefault="00BF0238" w:rsidP="00365C44">
      <w:pPr>
        <w:pStyle w:val="Rparagraph"/>
      </w:pPr>
      <w:r>
        <w:rPr>
          <w:rFonts w:eastAsia="Times New Roman"/>
          <w:color w:val="000000"/>
          <w:lang w:eastAsia="en-GB"/>
        </w:rPr>
        <w:t xml:space="preserve">Since that time </w:t>
      </w:r>
      <w:r>
        <w:t xml:space="preserve">the council's Core System's team has been addressing some specific issues identified by both the external auditor and ourselves regarding </w:t>
      </w:r>
      <w:proofErr w:type="gramStart"/>
      <w:r>
        <w:t>access</w:t>
      </w:r>
      <w:proofErr w:type="gramEnd"/>
      <w:r>
        <w:t xml:space="preserve"> permissions, although we understand that these will now be subsumed into the overall Oracle Replacement project. This assignment has therefore been removed from the internal audit programme for 2019/20.</w:t>
      </w:r>
    </w:p>
    <w:p w14:paraId="26BE3F05" w14:textId="77777777" w:rsidR="00E0099B" w:rsidRDefault="00BF0238" w:rsidP="00E0099B">
      <w:pPr>
        <w:pStyle w:val="Rheading"/>
      </w:pPr>
      <w:r>
        <w:lastRenderedPageBreak/>
        <w:t>Follow-up work</w:t>
      </w:r>
    </w:p>
    <w:p w14:paraId="6B847370" w14:textId="77777777" w:rsidR="003265CC" w:rsidRDefault="00BF0238" w:rsidP="00FA0455">
      <w:pPr>
        <w:pStyle w:val="Rparagraph"/>
      </w:pPr>
      <w:r w:rsidRPr="00743805">
        <w:t>During 201</w:t>
      </w:r>
      <w:r>
        <w:t>9/20</w:t>
      </w:r>
      <w:r w:rsidRPr="00743805">
        <w:t xml:space="preserve"> the Internal Audit Service </w:t>
      </w:r>
      <w:r>
        <w:t>has begun to follow up the action reported by the council as having been taken. M</w:t>
      </w:r>
      <w:r w:rsidRPr="00743805">
        <w:t xml:space="preserve">anagers' own assessments </w:t>
      </w:r>
      <w:r>
        <w:t>of the current status of these</w:t>
      </w:r>
      <w:r w:rsidRPr="00743805">
        <w:t xml:space="preserve"> action</w:t>
      </w:r>
      <w:r>
        <w:t>s</w:t>
      </w:r>
      <w:r w:rsidRPr="00743805">
        <w:t xml:space="preserve"> </w:t>
      </w:r>
      <w:r>
        <w:t>are as follows:</w:t>
      </w:r>
    </w:p>
    <w:tbl>
      <w:tblPr>
        <w:tblStyle w:val="TableGrid"/>
        <w:tblW w:w="8500" w:type="dxa"/>
        <w:tblInd w:w="567" w:type="dxa"/>
        <w:tblLayout w:type="fixed"/>
        <w:tblLook w:val="04A0" w:firstRow="1" w:lastRow="0" w:firstColumn="1" w:lastColumn="0" w:noHBand="0" w:noVBand="1"/>
      </w:tblPr>
      <w:tblGrid>
        <w:gridCol w:w="1271"/>
        <w:gridCol w:w="992"/>
        <w:gridCol w:w="851"/>
        <w:gridCol w:w="1134"/>
        <w:gridCol w:w="709"/>
        <w:gridCol w:w="850"/>
        <w:gridCol w:w="709"/>
        <w:gridCol w:w="1134"/>
        <w:gridCol w:w="850"/>
      </w:tblGrid>
      <w:tr w:rsidR="00E723C3" w14:paraId="5E65944D" w14:textId="77777777" w:rsidTr="00743805">
        <w:trPr>
          <w:trHeight w:val="343"/>
        </w:trPr>
        <w:tc>
          <w:tcPr>
            <w:tcW w:w="8500" w:type="dxa"/>
            <w:gridSpan w:val="9"/>
            <w:shd w:val="clear" w:color="auto" w:fill="D9D9D9" w:themeFill="background1" w:themeFillShade="D9"/>
          </w:tcPr>
          <w:p w14:paraId="534D7A9C" w14:textId="77777777" w:rsidR="004F57D5" w:rsidRPr="003A3E48" w:rsidRDefault="00BF0238" w:rsidP="005245D1">
            <w:pPr>
              <w:pStyle w:val="Rquotation"/>
              <w:spacing w:before="20" w:after="20"/>
              <w:ind w:left="0"/>
              <w:rPr>
                <w:rFonts w:cs="Arial"/>
                <w:b/>
                <w:szCs w:val="24"/>
              </w:rPr>
            </w:pPr>
            <w:r w:rsidRPr="003A3E48">
              <w:rPr>
                <w:rFonts w:cs="Arial"/>
                <w:b/>
                <w:szCs w:val="24"/>
              </w:rPr>
              <w:t xml:space="preserve">Numbers of actions agreed </w:t>
            </w:r>
            <w:r>
              <w:rPr>
                <w:rFonts w:cs="Arial"/>
                <w:b/>
                <w:szCs w:val="24"/>
              </w:rPr>
              <w:t>in</w:t>
            </w:r>
            <w:r w:rsidRPr="003A3E48">
              <w:rPr>
                <w:rFonts w:cs="Arial"/>
                <w:b/>
                <w:szCs w:val="24"/>
              </w:rPr>
              <w:t xml:space="preserve"> 2017/18, 2018/19 and 2019/20 </w:t>
            </w:r>
            <w:r>
              <w:rPr>
                <w:rFonts w:cs="Arial"/>
                <w:b/>
                <w:szCs w:val="24"/>
              </w:rPr>
              <w:t xml:space="preserve">and now </w:t>
            </w:r>
            <w:r w:rsidRPr="003A3E48">
              <w:rPr>
                <w:rFonts w:cs="Arial"/>
                <w:b/>
                <w:szCs w:val="24"/>
              </w:rPr>
              <w:t>due</w:t>
            </w:r>
          </w:p>
        </w:tc>
      </w:tr>
      <w:tr w:rsidR="00E723C3" w14:paraId="706AD671" w14:textId="77777777" w:rsidTr="000030BA">
        <w:trPr>
          <w:trHeight w:val="343"/>
        </w:trPr>
        <w:tc>
          <w:tcPr>
            <w:tcW w:w="2263" w:type="dxa"/>
            <w:gridSpan w:val="2"/>
            <w:tcBorders>
              <w:bottom w:val="nil"/>
              <w:right w:val="single" w:sz="4" w:space="0" w:color="auto"/>
            </w:tcBorders>
            <w:shd w:val="clear" w:color="auto" w:fill="FFFFFF" w:themeFill="background1"/>
          </w:tcPr>
          <w:p w14:paraId="79F741CF" w14:textId="77777777" w:rsidR="00FE004D" w:rsidRPr="000030BA" w:rsidRDefault="00BF0238" w:rsidP="005245D1">
            <w:pPr>
              <w:pStyle w:val="Rquotation"/>
              <w:spacing w:before="20" w:after="20"/>
              <w:ind w:left="0"/>
              <w:rPr>
                <w:rFonts w:cs="Arial"/>
                <w:b/>
                <w:sz w:val="22"/>
              </w:rPr>
            </w:pPr>
            <w:r w:rsidRPr="000030BA">
              <w:rPr>
                <w:rFonts w:cs="Arial"/>
                <w:b/>
                <w:sz w:val="22"/>
              </w:rPr>
              <w:t>Action status</w:t>
            </w:r>
          </w:p>
        </w:tc>
        <w:tc>
          <w:tcPr>
            <w:tcW w:w="1985" w:type="dxa"/>
            <w:gridSpan w:val="2"/>
            <w:vMerge w:val="restart"/>
            <w:shd w:val="clear" w:color="auto" w:fill="D9D9D9" w:themeFill="background1" w:themeFillShade="D9"/>
          </w:tcPr>
          <w:p w14:paraId="1DA49B5C" w14:textId="77777777" w:rsidR="00FE004D" w:rsidRPr="000030BA" w:rsidRDefault="00BF0238" w:rsidP="005245D1">
            <w:pPr>
              <w:pStyle w:val="Rquotation"/>
              <w:spacing w:before="20" w:after="20"/>
              <w:ind w:left="0"/>
              <w:rPr>
                <w:rFonts w:cs="Arial"/>
                <w:b/>
                <w:sz w:val="22"/>
              </w:rPr>
            </w:pPr>
            <w:r w:rsidRPr="000030BA">
              <w:rPr>
                <w:rFonts w:cs="Arial"/>
                <w:b/>
                <w:sz w:val="22"/>
              </w:rPr>
              <w:t xml:space="preserve">As at </w:t>
            </w:r>
            <w:r>
              <w:rPr>
                <w:rFonts w:cs="Arial"/>
                <w:b/>
                <w:sz w:val="22"/>
              </w:rPr>
              <w:t>September 2019</w:t>
            </w:r>
          </w:p>
          <w:p w14:paraId="4EE8E752" w14:textId="77777777" w:rsidR="00FE004D" w:rsidRPr="000030BA" w:rsidRDefault="00D6316E" w:rsidP="005245D1">
            <w:pPr>
              <w:pStyle w:val="Rquotation"/>
              <w:spacing w:before="20" w:after="20"/>
              <w:ind w:left="0"/>
              <w:rPr>
                <w:rFonts w:cs="Arial"/>
                <w:b/>
                <w:sz w:val="22"/>
              </w:rPr>
            </w:pPr>
          </w:p>
        </w:tc>
        <w:tc>
          <w:tcPr>
            <w:tcW w:w="4252" w:type="dxa"/>
            <w:gridSpan w:val="5"/>
            <w:shd w:val="clear" w:color="auto" w:fill="D9D9D9" w:themeFill="background1" w:themeFillShade="D9"/>
          </w:tcPr>
          <w:p w14:paraId="57FF18E4" w14:textId="77777777" w:rsidR="00FE004D" w:rsidRPr="000030BA" w:rsidRDefault="00BF0238" w:rsidP="00286F5F">
            <w:pPr>
              <w:pStyle w:val="Rquotation"/>
              <w:spacing w:before="20" w:after="20"/>
              <w:ind w:left="0"/>
              <w:rPr>
                <w:rFonts w:cs="Arial"/>
                <w:b/>
                <w:sz w:val="22"/>
              </w:rPr>
            </w:pPr>
            <w:r w:rsidRPr="000030BA">
              <w:rPr>
                <w:rFonts w:cs="Arial"/>
                <w:b/>
                <w:sz w:val="22"/>
              </w:rPr>
              <w:t xml:space="preserve">As at </w:t>
            </w:r>
            <w:r>
              <w:rPr>
                <w:rFonts w:cs="Arial"/>
                <w:b/>
                <w:sz w:val="22"/>
              </w:rPr>
              <w:t>December</w:t>
            </w:r>
            <w:r w:rsidRPr="000030BA">
              <w:rPr>
                <w:rFonts w:cs="Arial"/>
                <w:b/>
                <w:sz w:val="22"/>
              </w:rPr>
              <w:t xml:space="preserve"> 2019</w:t>
            </w:r>
          </w:p>
        </w:tc>
      </w:tr>
      <w:tr w:rsidR="00E723C3" w14:paraId="198548D2" w14:textId="77777777" w:rsidTr="00590070">
        <w:trPr>
          <w:trHeight w:val="207"/>
        </w:trPr>
        <w:tc>
          <w:tcPr>
            <w:tcW w:w="2263" w:type="dxa"/>
            <w:gridSpan w:val="2"/>
            <w:vMerge w:val="restart"/>
            <w:tcBorders>
              <w:top w:val="nil"/>
              <w:right w:val="single" w:sz="4" w:space="0" w:color="auto"/>
            </w:tcBorders>
          </w:tcPr>
          <w:p w14:paraId="4DB1914E" w14:textId="77777777" w:rsidR="00FE004D" w:rsidRPr="000030BA" w:rsidRDefault="00D6316E" w:rsidP="005245D1">
            <w:pPr>
              <w:pStyle w:val="Rquotation"/>
              <w:spacing w:before="20" w:after="20"/>
              <w:ind w:left="0"/>
              <w:rPr>
                <w:rFonts w:cs="Arial"/>
                <w:b/>
                <w:sz w:val="22"/>
              </w:rPr>
            </w:pPr>
          </w:p>
        </w:tc>
        <w:tc>
          <w:tcPr>
            <w:tcW w:w="1985" w:type="dxa"/>
            <w:gridSpan w:val="2"/>
            <w:vMerge/>
            <w:shd w:val="clear" w:color="auto" w:fill="D9D9D9" w:themeFill="background1" w:themeFillShade="D9"/>
          </w:tcPr>
          <w:p w14:paraId="302038AD" w14:textId="77777777" w:rsidR="00FE004D" w:rsidRPr="000030BA" w:rsidRDefault="00D6316E" w:rsidP="005245D1">
            <w:pPr>
              <w:pStyle w:val="Rquotation"/>
              <w:spacing w:before="20" w:after="20"/>
              <w:ind w:left="0"/>
              <w:rPr>
                <w:rFonts w:cs="Arial"/>
                <w:b/>
                <w:sz w:val="22"/>
              </w:rPr>
            </w:pPr>
          </w:p>
        </w:tc>
        <w:tc>
          <w:tcPr>
            <w:tcW w:w="1559" w:type="dxa"/>
            <w:gridSpan w:val="2"/>
            <w:vMerge w:val="restart"/>
            <w:tcBorders>
              <w:top w:val="nil"/>
            </w:tcBorders>
            <w:shd w:val="clear" w:color="auto" w:fill="D9D9D9" w:themeFill="background1" w:themeFillShade="D9"/>
          </w:tcPr>
          <w:p w14:paraId="5F2B086E" w14:textId="77777777" w:rsidR="00FE004D" w:rsidRPr="000030BA" w:rsidRDefault="00D6316E" w:rsidP="005245D1">
            <w:pPr>
              <w:pStyle w:val="Rquotation"/>
              <w:spacing w:before="20" w:after="20"/>
              <w:ind w:left="0"/>
              <w:rPr>
                <w:rFonts w:cs="Arial"/>
                <w:b/>
                <w:sz w:val="22"/>
              </w:rPr>
            </w:pPr>
          </w:p>
          <w:p w14:paraId="10EF5E06" w14:textId="77777777" w:rsidR="00FE004D" w:rsidRPr="000030BA" w:rsidRDefault="00BF0238" w:rsidP="005245D1">
            <w:pPr>
              <w:pStyle w:val="Rquotation"/>
              <w:spacing w:before="20" w:after="20"/>
              <w:ind w:left="0"/>
              <w:rPr>
                <w:rFonts w:cs="Arial"/>
                <w:b/>
                <w:sz w:val="22"/>
              </w:rPr>
            </w:pPr>
            <w:r w:rsidRPr="000030BA">
              <w:rPr>
                <w:rFonts w:cs="Arial"/>
                <w:b/>
                <w:sz w:val="22"/>
              </w:rPr>
              <w:t>Total</w:t>
            </w:r>
          </w:p>
        </w:tc>
        <w:tc>
          <w:tcPr>
            <w:tcW w:w="2693" w:type="dxa"/>
            <w:gridSpan w:val="3"/>
          </w:tcPr>
          <w:p w14:paraId="49F6BB89" w14:textId="77777777" w:rsidR="00FE004D" w:rsidRPr="000030BA" w:rsidRDefault="00BF0238" w:rsidP="005245D1">
            <w:pPr>
              <w:pStyle w:val="Rquotation"/>
              <w:spacing w:before="20" w:after="20"/>
              <w:ind w:left="0"/>
              <w:rPr>
                <w:rFonts w:cs="Arial"/>
                <w:b/>
                <w:sz w:val="22"/>
              </w:rPr>
            </w:pPr>
            <w:r w:rsidRPr="000030BA">
              <w:rPr>
                <w:rFonts w:cs="Arial"/>
                <w:b/>
                <w:sz w:val="22"/>
              </w:rPr>
              <w:t>Risk rating</w:t>
            </w:r>
          </w:p>
        </w:tc>
      </w:tr>
      <w:tr w:rsidR="00E723C3" w14:paraId="6161AE33" w14:textId="77777777" w:rsidTr="00FE004D">
        <w:trPr>
          <w:trHeight w:val="48"/>
        </w:trPr>
        <w:tc>
          <w:tcPr>
            <w:tcW w:w="2263" w:type="dxa"/>
            <w:gridSpan w:val="2"/>
            <w:vMerge/>
            <w:tcBorders>
              <w:right w:val="single" w:sz="4" w:space="0" w:color="auto"/>
            </w:tcBorders>
          </w:tcPr>
          <w:p w14:paraId="29474FCC" w14:textId="77777777" w:rsidR="00FE004D" w:rsidRPr="000030BA" w:rsidRDefault="00D6316E" w:rsidP="005245D1">
            <w:pPr>
              <w:pStyle w:val="Rquotation"/>
              <w:spacing w:before="20" w:after="20"/>
              <w:ind w:left="0"/>
              <w:rPr>
                <w:rFonts w:cs="Arial"/>
                <w:sz w:val="22"/>
              </w:rPr>
            </w:pPr>
          </w:p>
        </w:tc>
        <w:tc>
          <w:tcPr>
            <w:tcW w:w="1985" w:type="dxa"/>
            <w:gridSpan w:val="2"/>
            <w:vMerge/>
            <w:shd w:val="clear" w:color="auto" w:fill="D9D9D9" w:themeFill="background1" w:themeFillShade="D9"/>
          </w:tcPr>
          <w:p w14:paraId="2FCCFEBB" w14:textId="77777777" w:rsidR="00FE004D" w:rsidRPr="000030BA" w:rsidRDefault="00D6316E" w:rsidP="005245D1">
            <w:pPr>
              <w:pStyle w:val="Rquotation"/>
              <w:spacing w:before="20" w:after="20"/>
              <w:ind w:left="0"/>
              <w:rPr>
                <w:rFonts w:cs="Arial"/>
                <w:sz w:val="22"/>
              </w:rPr>
            </w:pPr>
          </w:p>
        </w:tc>
        <w:tc>
          <w:tcPr>
            <w:tcW w:w="1559" w:type="dxa"/>
            <w:gridSpan w:val="2"/>
            <w:vMerge/>
            <w:tcBorders>
              <w:top w:val="nil"/>
            </w:tcBorders>
            <w:shd w:val="clear" w:color="auto" w:fill="D9D9D9" w:themeFill="background1" w:themeFillShade="D9"/>
          </w:tcPr>
          <w:p w14:paraId="6655198F" w14:textId="77777777" w:rsidR="00FE004D" w:rsidRPr="000030BA" w:rsidRDefault="00D6316E" w:rsidP="005245D1">
            <w:pPr>
              <w:pStyle w:val="Rquotation"/>
              <w:spacing w:before="20" w:after="20"/>
              <w:ind w:left="0"/>
              <w:rPr>
                <w:rFonts w:cs="Arial"/>
                <w:sz w:val="22"/>
              </w:rPr>
            </w:pPr>
          </w:p>
        </w:tc>
        <w:tc>
          <w:tcPr>
            <w:tcW w:w="709" w:type="dxa"/>
          </w:tcPr>
          <w:p w14:paraId="69C263AE" w14:textId="77777777" w:rsidR="00FE004D" w:rsidRPr="000030BA" w:rsidRDefault="00BF0238" w:rsidP="005245D1">
            <w:pPr>
              <w:pStyle w:val="Rquotation"/>
              <w:spacing w:before="20" w:after="20"/>
              <w:ind w:left="0"/>
              <w:rPr>
                <w:rFonts w:cs="Arial"/>
                <w:b/>
                <w:sz w:val="22"/>
              </w:rPr>
            </w:pPr>
            <w:r w:rsidRPr="000030BA">
              <w:rPr>
                <w:rFonts w:cs="Arial"/>
                <w:b/>
                <w:sz w:val="22"/>
              </w:rPr>
              <w:t>High</w:t>
            </w:r>
          </w:p>
        </w:tc>
        <w:tc>
          <w:tcPr>
            <w:tcW w:w="1134" w:type="dxa"/>
          </w:tcPr>
          <w:p w14:paraId="6176F728" w14:textId="77777777" w:rsidR="00FE004D" w:rsidRPr="000030BA" w:rsidRDefault="00BF0238" w:rsidP="005245D1">
            <w:pPr>
              <w:pStyle w:val="Rquotation"/>
              <w:spacing w:before="20" w:after="20"/>
              <w:ind w:left="0"/>
              <w:rPr>
                <w:rFonts w:cs="Arial"/>
                <w:b/>
                <w:sz w:val="22"/>
              </w:rPr>
            </w:pPr>
            <w:r w:rsidRPr="000030BA">
              <w:rPr>
                <w:rFonts w:cs="Arial"/>
                <w:b/>
                <w:sz w:val="22"/>
              </w:rPr>
              <w:t>Medium</w:t>
            </w:r>
          </w:p>
        </w:tc>
        <w:tc>
          <w:tcPr>
            <w:tcW w:w="850" w:type="dxa"/>
          </w:tcPr>
          <w:p w14:paraId="2BF4976B" w14:textId="77777777" w:rsidR="00FE004D" w:rsidRPr="000030BA" w:rsidRDefault="00BF0238" w:rsidP="005245D1">
            <w:pPr>
              <w:pStyle w:val="Rquotation"/>
              <w:spacing w:before="20" w:after="20"/>
              <w:ind w:left="0"/>
              <w:rPr>
                <w:rFonts w:cs="Arial"/>
                <w:b/>
                <w:sz w:val="22"/>
              </w:rPr>
            </w:pPr>
            <w:r w:rsidRPr="000030BA">
              <w:rPr>
                <w:rFonts w:cs="Arial"/>
                <w:b/>
                <w:sz w:val="22"/>
              </w:rPr>
              <w:t>Low</w:t>
            </w:r>
          </w:p>
        </w:tc>
      </w:tr>
      <w:tr w:rsidR="00E723C3" w14:paraId="303D3071" w14:textId="77777777" w:rsidTr="00FE004D">
        <w:tc>
          <w:tcPr>
            <w:tcW w:w="2263" w:type="dxa"/>
            <w:gridSpan w:val="2"/>
          </w:tcPr>
          <w:p w14:paraId="7B64BB8E" w14:textId="77777777" w:rsidR="00286F5F" w:rsidRPr="000030BA" w:rsidRDefault="00BF0238" w:rsidP="00286F5F">
            <w:pPr>
              <w:pStyle w:val="Rquotation"/>
              <w:spacing w:before="20" w:after="20"/>
              <w:ind w:left="0"/>
              <w:rPr>
                <w:rFonts w:cs="Arial"/>
                <w:sz w:val="22"/>
              </w:rPr>
            </w:pPr>
            <w:r w:rsidRPr="000030BA">
              <w:rPr>
                <w:rFonts w:cs="Arial"/>
                <w:sz w:val="22"/>
              </w:rPr>
              <w:t>Complete</w:t>
            </w:r>
          </w:p>
        </w:tc>
        <w:tc>
          <w:tcPr>
            <w:tcW w:w="851" w:type="dxa"/>
          </w:tcPr>
          <w:p w14:paraId="627C3F67" w14:textId="77777777" w:rsidR="00286F5F" w:rsidRPr="00286F5F" w:rsidRDefault="00BF0238" w:rsidP="00286F5F">
            <w:pPr>
              <w:pStyle w:val="Rquotation"/>
              <w:tabs>
                <w:tab w:val="decimal" w:pos="888"/>
              </w:tabs>
              <w:spacing w:before="20" w:after="20"/>
              <w:ind w:left="0"/>
              <w:rPr>
                <w:rFonts w:cs="Arial"/>
                <w:sz w:val="22"/>
              </w:rPr>
            </w:pPr>
            <w:r w:rsidRPr="00286F5F">
              <w:rPr>
                <w:rFonts w:cs="Arial"/>
                <w:sz w:val="22"/>
              </w:rPr>
              <w:t>314</w:t>
            </w:r>
          </w:p>
        </w:tc>
        <w:tc>
          <w:tcPr>
            <w:tcW w:w="1134" w:type="dxa"/>
          </w:tcPr>
          <w:p w14:paraId="53994655" w14:textId="77777777" w:rsidR="00286F5F" w:rsidRPr="00286F5F" w:rsidRDefault="00BF0238" w:rsidP="00286F5F">
            <w:pPr>
              <w:pStyle w:val="Rquotation"/>
              <w:tabs>
                <w:tab w:val="decimal" w:pos="513"/>
              </w:tabs>
              <w:spacing w:before="20" w:after="20"/>
              <w:ind w:left="0"/>
              <w:rPr>
                <w:rFonts w:cs="Arial"/>
                <w:sz w:val="22"/>
              </w:rPr>
            </w:pPr>
            <w:r w:rsidRPr="00286F5F">
              <w:rPr>
                <w:rFonts w:cs="Arial"/>
                <w:sz w:val="22"/>
              </w:rPr>
              <w:t>75%</w:t>
            </w:r>
          </w:p>
        </w:tc>
        <w:tc>
          <w:tcPr>
            <w:tcW w:w="709" w:type="dxa"/>
          </w:tcPr>
          <w:p w14:paraId="3A2C04A5" w14:textId="01151A63" w:rsidR="00286F5F" w:rsidRPr="002F76C8" w:rsidRDefault="00BF0238" w:rsidP="00286F5F">
            <w:pPr>
              <w:pStyle w:val="Rquotation"/>
              <w:tabs>
                <w:tab w:val="decimal" w:pos="456"/>
              </w:tabs>
              <w:spacing w:before="20" w:after="20"/>
              <w:ind w:left="0"/>
              <w:rPr>
                <w:rFonts w:cs="Arial"/>
                <w:sz w:val="22"/>
              </w:rPr>
            </w:pPr>
            <w:r>
              <w:rPr>
                <w:rFonts w:cs="Arial"/>
                <w:sz w:val="22"/>
              </w:rPr>
              <w:t>3</w:t>
            </w:r>
            <w:r w:rsidR="0061298A">
              <w:rPr>
                <w:rFonts w:cs="Arial"/>
                <w:sz w:val="22"/>
              </w:rPr>
              <w:t>52</w:t>
            </w:r>
          </w:p>
        </w:tc>
        <w:tc>
          <w:tcPr>
            <w:tcW w:w="850" w:type="dxa"/>
            <w:tcBorders>
              <w:top w:val="single" w:sz="4" w:space="0" w:color="auto"/>
            </w:tcBorders>
          </w:tcPr>
          <w:p w14:paraId="45BAF8A5" w14:textId="58405088" w:rsidR="00286F5F" w:rsidRPr="002F76C8" w:rsidRDefault="0061298A" w:rsidP="00286F5F">
            <w:pPr>
              <w:pStyle w:val="Rquotation"/>
              <w:tabs>
                <w:tab w:val="decimal" w:pos="513"/>
              </w:tabs>
              <w:spacing w:before="20" w:after="20"/>
              <w:ind w:left="0"/>
              <w:rPr>
                <w:rFonts w:cs="Arial"/>
                <w:sz w:val="22"/>
              </w:rPr>
            </w:pPr>
            <w:r>
              <w:rPr>
                <w:rFonts w:cs="Arial"/>
                <w:sz w:val="22"/>
              </w:rPr>
              <w:t>74</w:t>
            </w:r>
            <w:r w:rsidR="00BF0238">
              <w:rPr>
                <w:rFonts w:cs="Arial"/>
                <w:sz w:val="22"/>
              </w:rPr>
              <w:t>%</w:t>
            </w:r>
          </w:p>
        </w:tc>
        <w:tc>
          <w:tcPr>
            <w:tcW w:w="709" w:type="dxa"/>
          </w:tcPr>
          <w:p w14:paraId="30E1AF74" w14:textId="66C947BA" w:rsidR="00286F5F" w:rsidRPr="002F76C8" w:rsidRDefault="0061298A" w:rsidP="00286F5F">
            <w:pPr>
              <w:pStyle w:val="Rquotation"/>
              <w:tabs>
                <w:tab w:val="decimal" w:pos="460"/>
              </w:tabs>
              <w:spacing w:before="20" w:after="20"/>
              <w:ind w:left="0"/>
              <w:rPr>
                <w:rFonts w:cs="Arial"/>
                <w:sz w:val="22"/>
              </w:rPr>
            </w:pPr>
            <w:r>
              <w:rPr>
                <w:rFonts w:cs="Arial"/>
                <w:sz w:val="22"/>
              </w:rPr>
              <w:t>20</w:t>
            </w:r>
          </w:p>
        </w:tc>
        <w:tc>
          <w:tcPr>
            <w:tcW w:w="1134" w:type="dxa"/>
          </w:tcPr>
          <w:p w14:paraId="5D14C2FD" w14:textId="26255909" w:rsidR="00286F5F" w:rsidRPr="002F76C8" w:rsidRDefault="0061298A" w:rsidP="00286F5F">
            <w:pPr>
              <w:pStyle w:val="Rquotation"/>
              <w:tabs>
                <w:tab w:val="decimal" w:pos="685"/>
              </w:tabs>
              <w:spacing w:before="20" w:after="20"/>
              <w:ind w:left="0"/>
              <w:rPr>
                <w:rFonts w:cs="Arial"/>
                <w:sz w:val="22"/>
              </w:rPr>
            </w:pPr>
            <w:r>
              <w:rPr>
                <w:rFonts w:cs="Arial"/>
                <w:sz w:val="22"/>
              </w:rPr>
              <w:t>203</w:t>
            </w:r>
          </w:p>
        </w:tc>
        <w:tc>
          <w:tcPr>
            <w:tcW w:w="850" w:type="dxa"/>
          </w:tcPr>
          <w:p w14:paraId="0089598D" w14:textId="229B96E4" w:rsidR="00286F5F" w:rsidRPr="002F76C8" w:rsidRDefault="0061298A" w:rsidP="00286F5F">
            <w:pPr>
              <w:pStyle w:val="Rquotation"/>
              <w:tabs>
                <w:tab w:val="decimal" w:pos="420"/>
              </w:tabs>
              <w:spacing w:before="20" w:after="20"/>
              <w:ind w:left="0"/>
              <w:rPr>
                <w:rFonts w:cs="Arial"/>
                <w:sz w:val="22"/>
              </w:rPr>
            </w:pPr>
            <w:r>
              <w:rPr>
                <w:rFonts w:cs="Arial"/>
                <w:sz w:val="22"/>
              </w:rPr>
              <w:t>129</w:t>
            </w:r>
          </w:p>
        </w:tc>
      </w:tr>
      <w:tr w:rsidR="00E723C3" w14:paraId="1A064329" w14:textId="77777777" w:rsidTr="00FE004D">
        <w:tc>
          <w:tcPr>
            <w:tcW w:w="2263" w:type="dxa"/>
            <w:gridSpan w:val="2"/>
          </w:tcPr>
          <w:p w14:paraId="36783E10" w14:textId="77777777" w:rsidR="00286F5F" w:rsidRPr="000030BA" w:rsidRDefault="00BF0238" w:rsidP="00286F5F">
            <w:pPr>
              <w:pStyle w:val="Rquotation"/>
              <w:spacing w:before="20" w:after="20"/>
              <w:ind w:left="0"/>
              <w:rPr>
                <w:rFonts w:cs="Arial"/>
                <w:sz w:val="22"/>
              </w:rPr>
            </w:pPr>
            <w:r w:rsidRPr="000030BA">
              <w:rPr>
                <w:rFonts w:cs="Arial"/>
                <w:sz w:val="22"/>
              </w:rPr>
              <w:t>Superseded</w:t>
            </w:r>
          </w:p>
        </w:tc>
        <w:tc>
          <w:tcPr>
            <w:tcW w:w="851" w:type="dxa"/>
          </w:tcPr>
          <w:p w14:paraId="3DF1B714" w14:textId="77777777" w:rsidR="00286F5F" w:rsidRPr="00286F5F" w:rsidRDefault="00BF0238" w:rsidP="00286F5F">
            <w:pPr>
              <w:pStyle w:val="Rquotation"/>
              <w:tabs>
                <w:tab w:val="decimal" w:pos="888"/>
              </w:tabs>
              <w:spacing w:before="20" w:after="20"/>
              <w:ind w:left="0"/>
              <w:rPr>
                <w:rFonts w:cs="Arial"/>
                <w:sz w:val="22"/>
              </w:rPr>
            </w:pPr>
            <w:r w:rsidRPr="00286F5F">
              <w:rPr>
                <w:rFonts w:cs="Arial"/>
                <w:sz w:val="22"/>
              </w:rPr>
              <w:t>29</w:t>
            </w:r>
          </w:p>
        </w:tc>
        <w:tc>
          <w:tcPr>
            <w:tcW w:w="1134" w:type="dxa"/>
          </w:tcPr>
          <w:p w14:paraId="7D095287" w14:textId="77777777" w:rsidR="00286F5F" w:rsidRPr="00286F5F" w:rsidRDefault="00BF0238" w:rsidP="00286F5F">
            <w:pPr>
              <w:pStyle w:val="Rquotation"/>
              <w:tabs>
                <w:tab w:val="decimal" w:pos="513"/>
              </w:tabs>
              <w:spacing w:before="20" w:after="20"/>
              <w:ind w:left="0"/>
              <w:rPr>
                <w:rFonts w:cs="Arial"/>
                <w:sz w:val="22"/>
              </w:rPr>
            </w:pPr>
            <w:r w:rsidRPr="00286F5F">
              <w:rPr>
                <w:rFonts w:cs="Arial"/>
                <w:sz w:val="22"/>
              </w:rPr>
              <w:t>7%</w:t>
            </w:r>
          </w:p>
        </w:tc>
        <w:tc>
          <w:tcPr>
            <w:tcW w:w="709" w:type="dxa"/>
          </w:tcPr>
          <w:p w14:paraId="69B00432" w14:textId="2187C3A7" w:rsidR="00286F5F" w:rsidRPr="002F76C8" w:rsidRDefault="0061298A" w:rsidP="00286F5F">
            <w:pPr>
              <w:pStyle w:val="Rquotation"/>
              <w:tabs>
                <w:tab w:val="decimal" w:pos="456"/>
              </w:tabs>
              <w:spacing w:before="20" w:after="20"/>
              <w:ind w:left="0"/>
              <w:rPr>
                <w:rFonts w:cs="Arial"/>
                <w:sz w:val="22"/>
              </w:rPr>
            </w:pPr>
            <w:r>
              <w:rPr>
                <w:rFonts w:cs="Arial"/>
                <w:sz w:val="22"/>
              </w:rPr>
              <w:t>35</w:t>
            </w:r>
          </w:p>
        </w:tc>
        <w:tc>
          <w:tcPr>
            <w:tcW w:w="850" w:type="dxa"/>
          </w:tcPr>
          <w:p w14:paraId="209DD572" w14:textId="77777777" w:rsidR="00286F5F" w:rsidRPr="002F76C8" w:rsidRDefault="00BF0238" w:rsidP="00286F5F">
            <w:pPr>
              <w:pStyle w:val="Rquotation"/>
              <w:tabs>
                <w:tab w:val="decimal" w:pos="513"/>
              </w:tabs>
              <w:spacing w:before="20" w:after="20"/>
              <w:ind w:left="0"/>
              <w:rPr>
                <w:rFonts w:cs="Arial"/>
                <w:sz w:val="22"/>
              </w:rPr>
            </w:pPr>
            <w:r>
              <w:rPr>
                <w:rFonts w:cs="Arial"/>
                <w:sz w:val="22"/>
              </w:rPr>
              <w:t>7%</w:t>
            </w:r>
          </w:p>
        </w:tc>
        <w:tc>
          <w:tcPr>
            <w:tcW w:w="709" w:type="dxa"/>
          </w:tcPr>
          <w:p w14:paraId="621243BD" w14:textId="50A07CA0" w:rsidR="00286F5F" w:rsidRPr="002F76C8" w:rsidRDefault="0061298A" w:rsidP="00286F5F">
            <w:pPr>
              <w:pStyle w:val="Rquotation"/>
              <w:tabs>
                <w:tab w:val="decimal" w:pos="460"/>
              </w:tabs>
              <w:spacing w:before="20" w:after="20"/>
              <w:ind w:left="0"/>
              <w:rPr>
                <w:rFonts w:cs="Arial"/>
                <w:sz w:val="22"/>
              </w:rPr>
            </w:pPr>
            <w:r>
              <w:rPr>
                <w:rFonts w:cs="Arial"/>
                <w:sz w:val="22"/>
              </w:rPr>
              <w:t>5</w:t>
            </w:r>
          </w:p>
        </w:tc>
        <w:tc>
          <w:tcPr>
            <w:tcW w:w="1134" w:type="dxa"/>
          </w:tcPr>
          <w:p w14:paraId="71BD94E1" w14:textId="62E746A2" w:rsidR="00286F5F" w:rsidRPr="002F76C8" w:rsidRDefault="0061298A" w:rsidP="00286F5F">
            <w:pPr>
              <w:pStyle w:val="Rquotation"/>
              <w:tabs>
                <w:tab w:val="decimal" w:pos="685"/>
              </w:tabs>
              <w:spacing w:before="20" w:after="20"/>
              <w:ind w:left="0"/>
              <w:rPr>
                <w:rFonts w:cs="Arial"/>
                <w:sz w:val="22"/>
              </w:rPr>
            </w:pPr>
            <w:r>
              <w:rPr>
                <w:rFonts w:cs="Arial"/>
                <w:sz w:val="22"/>
              </w:rPr>
              <w:t>22</w:t>
            </w:r>
          </w:p>
        </w:tc>
        <w:tc>
          <w:tcPr>
            <w:tcW w:w="850" w:type="dxa"/>
          </w:tcPr>
          <w:p w14:paraId="1105792C" w14:textId="77777777" w:rsidR="00286F5F" w:rsidRPr="002F76C8" w:rsidRDefault="00BF0238" w:rsidP="00286F5F">
            <w:pPr>
              <w:pStyle w:val="Rquotation"/>
              <w:tabs>
                <w:tab w:val="decimal" w:pos="420"/>
              </w:tabs>
              <w:spacing w:before="20" w:after="20"/>
              <w:ind w:left="0"/>
              <w:rPr>
                <w:rFonts w:cs="Arial"/>
                <w:sz w:val="22"/>
              </w:rPr>
            </w:pPr>
            <w:r>
              <w:rPr>
                <w:rFonts w:cs="Arial"/>
                <w:sz w:val="22"/>
              </w:rPr>
              <w:t>8</w:t>
            </w:r>
          </w:p>
        </w:tc>
      </w:tr>
      <w:tr w:rsidR="00E723C3" w14:paraId="5F8E3358" w14:textId="77777777" w:rsidTr="00FE004D">
        <w:tc>
          <w:tcPr>
            <w:tcW w:w="2263" w:type="dxa"/>
            <w:gridSpan w:val="2"/>
          </w:tcPr>
          <w:p w14:paraId="7D4B3BE1" w14:textId="77777777" w:rsidR="00286F5F" w:rsidRPr="000030BA" w:rsidRDefault="00BF0238" w:rsidP="00286F5F">
            <w:pPr>
              <w:pStyle w:val="Rquotation"/>
              <w:spacing w:before="20" w:after="20"/>
              <w:ind w:left="0"/>
              <w:rPr>
                <w:rFonts w:cs="Arial"/>
                <w:sz w:val="22"/>
              </w:rPr>
            </w:pPr>
            <w:r w:rsidRPr="000030BA">
              <w:rPr>
                <w:rFonts w:cs="Arial"/>
                <w:sz w:val="22"/>
              </w:rPr>
              <w:t>Incomplete</w:t>
            </w:r>
          </w:p>
        </w:tc>
        <w:tc>
          <w:tcPr>
            <w:tcW w:w="851" w:type="dxa"/>
          </w:tcPr>
          <w:p w14:paraId="4A452B96" w14:textId="77777777" w:rsidR="00286F5F" w:rsidRPr="00286F5F" w:rsidRDefault="00BF0238" w:rsidP="00286F5F">
            <w:pPr>
              <w:pStyle w:val="Rquotation"/>
              <w:tabs>
                <w:tab w:val="decimal" w:pos="888"/>
              </w:tabs>
              <w:spacing w:before="20" w:after="20"/>
              <w:ind w:left="0"/>
              <w:rPr>
                <w:rFonts w:cs="Arial"/>
                <w:sz w:val="22"/>
              </w:rPr>
            </w:pPr>
            <w:r w:rsidRPr="00286F5F">
              <w:rPr>
                <w:rFonts w:cs="Arial"/>
                <w:sz w:val="22"/>
              </w:rPr>
              <w:t>24</w:t>
            </w:r>
          </w:p>
        </w:tc>
        <w:tc>
          <w:tcPr>
            <w:tcW w:w="1134" w:type="dxa"/>
          </w:tcPr>
          <w:p w14:paraId="5AA5F547" w14:textId="77777777" w:rsidR="00286F5F" w:rsidRPr="00286F5F" w:rsidRDefault="00BF0238" w:rsidP="00286F5F">
            <w:pPr>
              <w:pStyle w:val="Rquotation"/>
              <w:tabs>
                <w:tab w:val="decimal" w:pos="513"/>
              </w:tabs>
              <w:spacing w:before="20" w:after="20"/>
              <w:ind w:left="0"/>
              <w:rPr>
                <w:rFonts w:cs="Arial"/>
                <w:sz w:val="22"/>
              </w:rPr>
            </w:pPr>
            <w:r w:rsidRPr="00286F5F">
              <w:rPr>
                <w:rFonts w:cs="Arial"/>
                <w:sz w:val="22"/>
              </w:rPr>
              <w:t>6%</w:t>
            </w:r>
          </w:p>
        </w:tc>
        <w:tc>
          <w:tcPr>
            <w:tcW w:w="709" w:type="dxa"/>
          </w:tcPr>
          <w:p w14:paraId="2BBF9231" w14:textId="7248215B" w:rsidR="00286F5F" w:rsidRPr="002F76C8" w:rsidRDefault="0061298A" w:rsidP="00286F5F">
            <w:pPr>
              <w:pStyle w:val="Rquotation"/>
              <w:tabs>
                <w:tab w:val="decimal" w:pos="456"/>
              </w:tabs>
              <w:spacing w:before="20" w:after="20"/>
              <w:ind w:left="0"/>
              <w:rPr>
                <w:rFonts w:cs="Arial"/>
                <w:sz w:val="22"/>
              </w:rPr>
            </w:pPr>
            <w:r>
              <w:rPr>
                <w:rFonts w:cs="Arial"/>
                <w:sz w:val="22"/>
              </w:rPr>
              <w:t>38</w:t>
            </w:r>
          </w:p>
        </w:tc>
        <w:tc>
          <w:tcPr>
            <w:tcW w:w="850" w:type="dxa"/>
          </w:tcPr>
          <w:p w14:paraId="6F581CC4" w14:textId="45F51D04" w:rsidR="00286F5F" w:rsidRPr="002F76C8" w:rsidRDefault="0061298A" w:rsidP="00286F5F">
            <w:pPr>
              <w:pStyle w:val="Rquotation"/>
              <w:tabs>
                <w:tab w:val="decimal" w:pos="513"/>
              </w:tabs>
              <w:spacing w:before="20" w:after="20"/>
              <w:ind w:left="0"/>
              <w:rPr>
                <w:rFonts w:cs="Arial"/>
                <w:sz w:val="22"/>
              </w:rPr>
            </w:pPr>
            <w:r>
              <w:rPr>
                <w:rFonts w:cs="Arial"/>
                <w:sz w:val="22"/>
              </w:rPr>
              <w:t>8</w:t>
            </w:r>
            <w:r w:rsidR="00BF0238">
              <w:rPr>
                <w:rFonts w:cs="Arial"/>
                <w:sz w:val="22"/>
              </w:rPr>
              <w:t>%</w:t>
            </w:r>
          </w:p>
        </w:tc>
        <w:tc>
          <w:tcPr>
            <w:tcW w:w="709" w:type="dxa"/>
          </w:tcPr>
          <w:p w14:paraId="22548989" w14:textId="77777777" w:rsidR="00286F5F" w:rsidRPr="002F76C8" w:rsidRDefault="00BF0238" w:rsidP="00286F5F">
            <w:pPr>
              <w:pStyle w:val="Rquotation"/>
              <w:tabs>
                <w:tab w:val="decimal" w:pos="460"/>
              </w:tabs>
              <w:spacing w:before="20" w:after="20"/>
              <w:ind w:left="0"/>
              <w:rPr>
                <w:rFonts w:cs="Arial"/>
                <w:sz w:val="22"/>
              </w:rPr>
            </w:pPr>
            <w:r>
              <w:rPr>
                <w:rFonts w:cs="Arial"/>
                <w:sz w:val="22"/>
              </w:rPr>
              <w:t>6</w:t>
            </w:r>
          </w:p>
        </w:tc>
        <w:tc>
          <w:tcPr>
            <w:tcW w:w="1134" w:type="dxa"/>
          </w:tcPr>
          <w:p w14:paraId="202D09D7" w14:textId="12B66BFE" w:rsidR="00286F5F" w:rsidRPr="002F76C8" w:rsidRDefault="0061298A" w:rsidP="00286F5F">
            <w:pPr>
              <w:pStyle w:val="Rquotation"/>
              <w:tabs>
                <w:tab w:val="decimal" w:pos="685"/>
              </w:tabs>
              <w:spacing w:before="20" w:after="20"/>
              <w:ind w:left="0"/>
              <w:rPr>
                <w:rFonts w:cs="Arial"/>
                <w:sz w:val="22"/>
              </w:rPr>
            </w:pPr>
            <w:r>
              <w:rPr>
                <w:rFonts w:cs="Arial"/>
                <w:sz w:val="22"/>
              </w:rPr>
              <w:t>23</w:t>
            </w:r>
          </w:p>
        </w:tc>
        <w:tc>
          <w:tcPr>
            <w:tcW w:w="850" w:type="dxa"/>
          </w:tcPr>
          <w:p w14:paraId="7ADF3200" w14:textId="0D2CA38B" w:rsidR="00286F5F" w:rsidRPr="002F76C8" w:rsidRDefault="0061298A" w:rsidP="00286F5F">
            <w:pPr>
              <w:pStyle w:val="Rquotation"/>
              <w:tabs>
                <w:tab w:val="decimal" w:pos="420"/>
              </w:tabs>
              <w:spacing w:before="20" w:after="20"/>
              <w:ind w:left="0"/>
              <w:rPr>
                <w:rFonts w:cs="Arial"/>
                <w:sz w:val="22"/>
              </w:rPr>
            </w:pPr>
            <w:r>
              <w:rPr>
                <w:rFonts w:cs="Arial"/>
                <w:sz w:val="22"/>
              </w:rPr>
              <w:t>9</w:t>
            </w:r>
          </w:p>
        </w:tc>
      </w:tr>
      <w:tr w:rsidR="00E723C3" w14:paraId="0731D69B" w14:textId="77777777" w:rsidTr="00FE004D">
        <w:tc>
          <w:tcPr>
            <w:tcW w:w="2263" w:type="dxa"/>
            <w:gridSpan w:val="2"/>
          </w:tcPr>
          <w:p w14:paraId="6D548EDB" w14:textId="77777777" w:rsidR="00286F5F" w:rsidRPr="000030BA" w:rsidRDefault="00BF0238" w:rsidP="00286F5F">
            <w:pPr>
              <w:pStyle w:val="Rquotation"/>
              <w:spacing w:before="20" w:after="20"/>
              <w:ind w:left="0"/>
              <w:rPr>
                <w:rFonts w:cs="Arial"/>
                <w:sz w:val="22"/>
              </w:rPr>
            </w:pPr>
            <w:r w:rsidRPr="000030BA">
              <w:rPr>
                <w:rFonts w:cs="Arial"/>
                <w:sz w:val="22"/>
              </w:rPr>
              <w:t>Awaiting responses</w:t>
            </w:r>
          </w:p>
        </w:tc>
        <w:tc>
          <w:tcPr>
            <w:tcW w:w="851" w:type="dxa"/>
          </w:tcPr>
          <w:p w14:paraId="5FF96A3B" w14:textId="77777777" w:rsidR="00286F5F" w:rsidRPr="00286F5F" w:rsidRDefault="00BF0238" w:rsidP="00286F5F">
            <w:pPr>
              <w:pStyle w:val="Rquotation"/>
              <w:tabs>
                <w:tab w:val="decimal" w:pos="888"/>
              </w:tabs>
              <w:spacing w:before="20" w:after="20"/>
              <w:ind w:left="0"/>
              <w:rPr>
                <w:rFonts w:cs="Arial"/>
                <w:sz w:val="22"/>
              </w:rPr>
            </w:pPr>
            <w:r w:rsidRPr="00286F5F">
              <w:rPr>
                <w:rFonts w:cs="Arial"/>
                <w:sz w:val="22"/>
              </w:rPr>
              <w:t>50</w:t>
            </w:r>
          </w:p>
        </w:tc>
        <w:tc>
          <w:tcPr>
            <w:tcW w:w="1134" w:type="dxa"/>
          </w:tcPr>
          <w:p w14:paraId="7E6D513E" w14:textId="77777777" w:rsidR="00286F5F" w:rsidRPr="00286F5F" w:rsidRDefault="00BF0238" w:rsidP="00286F5F">
            <w:pPr>
              <w:pStyle w:val="Rquotation"/>
              <w:tabs>
                <w:tab w:val="decimal" w:pos="513"/>
              </w:tabs>
              <w:spacing w:before="20" w:after="20"/>
              <w:ind w:left="0"/>
              <w:rPr>
                <w:rFonts w:cs="Arial"/>
                <w:sz w:val="22"/>
              </w:rPr>
            </w:pPr>
            <w:r w:rsidRPr="00286F5F">
              <w:rPr>
                <w:rFonts w:cs="Arial"/>
                <w:sz w:val="22"/>
              </w:rPr>
              <w:t>12%</w:t>
            </w:r>
          </w:p>
        </w:tc>
        <w:tc>
          <w:tcPr>
            <w:tcW w:w="709" w:type="dxa"/>
          </w:tcPr>
          <w:p w14:paraId="42D2A25F" w14:textId="7BE2399F" w:rsidR="00286F5F" w:rsidRPr="002F76C8" w:rsidRDefault="0061298A" w:rsidP="00286F5F">
            <w:pPr>
              <w:pStyle w:val="Rquotation"/>
              <w:tabs>
                <w:tab w:val="decimal" w:pos="456"/>
              </w:tabs>
              <w:spacing w:before="20" w:after="20"/>
              <w:ind w:left="0"/>
              <w:rPr>
                <w:rFonts w:cs="Arial"/>
                <w:sz w:val="22"/>
              </w:rPr>
            </w:pPr>
            <w:r>
              <w:rPr>
                <w:rFonts w:cs="Arial"/>
                <w:sz w:val="22"/>
              </w:rPr>
              <w:t>51</w:t>
            </w:r>
          </w:p>
        </w:tc>
        <w:tc>
          <w:tcPr>
            <w:tcW w:w="850" w:type="dxa"/>
          </w:tcPr>
          <w:p w14:paraId="25ABF140" w14:textId="5A6A66B2" w:rsidR="00286F5F" w:rsidRPr="002F76C8" w:rsidRDefault="0061298A" w:rsidP="00286F5F">
            <w:pPr>
              <w:pStyle w:val="Rquotation"/>
              <w:tabs>
                <w:tab w:val="decimal" w:pos="513"/>
              </w:tabs>
              <w:spacing w:before="20" w:after="20"/>
              <w:ind w:left="0"/>
              <w:rPr>
                <w:rFonts w:cs="Arial"/>
                <w:sz w:val="22"/>
              </w:rPr>
            </w:pPr>
            <w:r>
              <w:rPr>
                <w:rFonts w:cs="Arial"/>
                <w:sz w:val="22"/>
              </w:rPr>
              <w:t>11</w:t>
            </w:r>
            <w:r w:rsidR="00BF0238">
              <w:rPr>
                <w:rFonts w:cs="Arial"/>
                <w:sz w:val="22"/>
              </w:rPr>
              <w:t>%</w:t>
            </w:r>
          </w:p>
        </w:tc>
        <w:tc>
          <w:tcPr>
            <w:tcW w:w="709" w:type="dxa"/>
          </w:tcPr>
          <w:p w14:paraId="5052FCD1" w14:textId="75650F4B" w:rsidR="00286F5F" w:rsidRPr="002F76C8" w:rsidRDefault="0061298A" w:rsidP="00286F5F">
            <w:pPr>
              <w:pStyle w:val="Rquotation"/>
              <w:tabs>
                <w:tab w:val="decimal" w:pos="460"/>
              </w:tabs>
              <w:spacing w:before="20" w:after="20"/>
              <w:ind w:left="0"/>
              <w:rPr>
                <w:rFonts w:cs="Arial"/>
                <w:sz w:val="22"/>
              </w:rPr>
            </w:pPr>
            <w:r>
              <w:rPr>
                <w:rFonts w:cs="Arial"/>
                <w:sz w:val="22"/>
              </w:rPr>
              <w:t>4</w:t>
            </w:r>
          </w:p>
        </w:tc>
        <w:tc>
          <w:tcPr>
            <w:tcW w:w="1134" w:type="dxa"/>
          </w:tcPr>
          <w:p w14:paraId="1AB9AC3A" w14:textId="7F2CE156" w:rsidR="00286F5F" w:rsidRPr="002F76C8" w:rsidRDefault="0061298A" w:rsidP="00286F5F">
            <w:pPr>
              <w:pStyle w:val="Rquotation"/>
              <w:tabs>
                <w:tab w:val="decimal" w:pos="685"/>
              </w:tabs>
              <w:spacing w:before="20" w:after="20"/>
              <w:ind w:left="0"/>
              <w:rPr>
                <w:rFonts w:cs="Arial"/>
                <w:sz w:val="22"/>
              </w:rPr>
            </w:pPr>
            <w:r>
              <w:rPr>
                <w:rFonts w:cs="Arial"/>
                <w:sz w:val="22"/>
              </w:rPr>
              <w:t>29</w:t>
            </w:r>
          </w:p>
        </w:tc>
        <w:tc>
          <w:tcPr>
            <w:tcW w:w="850" w:type="dxa"/>
          </w:tcPr>
          <w:p w14:paraId="6010FFCA" w14:textId="623BFDFB" w:rsidR="00286F5F" w:rsidRPr="002F76C8" w:rsidRDefault="0061298A" w:rsidP="00286F5F">
            <w:pPr>
              <w:pStyle w:val="Rquotation"/>
              <w:tabs>
                <w:tab w:val="decimal" w:pos="420"/>
              </w:tabs>
              <w:spacing w:before="20" w:after="20"/>
              <w:ind w:left="0"/>
              <w:rPr>
                <w:rFonts w:cs="Arial"/>
                <w:sz w:val="22"/>
              </w:rPr>
            </w:pPr>
            <w:r>
              <w:rPr>
                <w:rFonts w:cs="Arial"/>
                <w:sz w:val="22"/>
              </w:rPr>
              <w:t>18</w:t>
            </w:r>
          </w:p>
        </w:tc>
      </w:tr>
      <w:tr w:rsidR="00E723C3" w14:paraId="78BEADB5" w14:textId="77777777" w:rsidTr="00FE004D">
        <w:tc>
          <w:tcPr>
            <w:tcW w:w="2263" w:type="dxa"/>
            <w:gridSpan w:val="2"/>
            <w:tcBorders>
              <w:bottom w:val="single" w:sz="4" w:space="0" w:color="auto"/>
            </w:tcBorders>
            <w:shd w:val="clear" w:color="auto" w:fill="D9D9D9" w:themeFill="background1" w:themeFillShade="D9"/>
          </w:tcPr>
          <w:p w14:paraId="1E02B334" w14:textId="77777777" w:rsidR="00286F5F" w:rsidRPr="000030BA" w:rsidRDefault="00BF0238" w:rsidP="00286F5F">
            <w:pPr>
              <w:pStyle w:val="Rquotation"/>
              <w:spacing w:before="20" w:after="20"/>
              <w:ind w:left="0"/>
              <w:rPr>
                <w:rFonts w:cs="Arial"/>
                <w:b/>
                <w:sz w:val="22"/>
              </w:rPr>
            </w:pPr>
            <w:r w:rsidRPr="000030BA">
              <w:rPr>
                <w:rFonts w:cs="Arial"/>
                <w:b/>
                <w:sz w:val="22"/>
              </w:rPr>
              <w:t>Total</w:t>
            </w:r>
          </w:p>
        </w:tc>
        <w:tc>
          <w:tcPr>
            <w:tcW w:w="851" w:type="dxa"/>
            <w:tcBorders>
              <w:bottom w:val="single" w:sz="4" w:space="0" w:color="auto"/>
            </w:tcBorders>
            <w:shd w:val="clear" w:color="auto" w:fill="D9D9D9" w:themeFill="background1" w:themeFillShade="D9"/>
          </w:tcPr>
          <w:p w14:paraId="68A1A2E3" w14:textId="77777777" w:rsidR="00286F5F" w:rsidRPr="00286F5F" w:rsidRDefault="00BF0238" w:rsidP="00286F5F">
            <w:pPr>
              <w:pStyle w:val="Rquotation"/>
              <w:tabs>
                <w:tab w:val="decimal" w:pos="888"/>
              </w:tabs>
              <w:spacing w:before="20" w:after="20"/>
              <w:ind w:left="0"/>
              <w:rPr>
                <w:rFonts w:cs="Arial"/>
                <w:b/>
                <w:sz w:val="22"/>
              </w:rPr>
            </w:pPr>
            <w:r w:rsidRPr="00286F5F">
              <w:rPr>
                <w:rFonts w:cs="Arial"/>
                <w:b/>
                <w:sz w:val="22"/>
              </w:rPr>
              <w:t>417</w:t>
            </w:r>
          </w:p>
        </w:tc>
        <w:tc>
          <w:tcPr>
            <w:tcW w:w="1134" w:type="dxa"/>
            <w:tcBorders>
              <w:bottom w:val="single" w:sz="4" w:space="0" w:color="auto"/>
            </w:tcBorders>
            <w:shd w:val="clear" w:color="auto" w:fill="D9D9D9" w:themeFill="background1" w:themeFillShade="D9"/>
          </w:tcPr>
          <w:p w14:paraId="1BF2C5DE" w14:textId="77777777" w:rsidR="00286F5F" w:rsidRPr="00286F5F" w:rsidRDefault="00BF0238" w:rsidP="00286F5F">
            <w:pPr>
              <w:pStyle w:val="Rquotation"/>
              <w:tabs>
                <w:tab w:val="decimal" w:pos="513"/>
              </w:tabs>
              <w:spacing w:before="20" w:after="20"/>
              <w:ind w:left="0"/>
              <w:rPr>
                <w:rFonts w:cs="Arial"/>
                <w:b/>
                <w:sz w:val="22"/>
              </w:rPr>
            </w:pPr>
            <w:r w:rsidRPr="00286F5F">
              <w:rPr>
                <w:rFonts w:cs="Arial"/>
                <w:b/>
                <w:sz w:val="22"/>
              </w:rPr>
              <w:t>100%</w:t>
            </w:r>
          </w:p>
        </w:tc>
        <w:tc>
          <w:tcPr>
            <w:tcW w:w="709" w:type="dxa"/>
            <w:shd w:val="clear" w:color="auto" w:fill="D9D9D9" w:themeFill="background1" w:themeFillShade="D9"/>
          </w:tcPr>
          <w:p w14:paraId="4B9DA299" w14:textId="77777777" w:rsidR="00286F5F" w:rsidRPr="002F76C8" w:rsidRDefault="00BF0238" w:rsidP="00286F5F">
            <w:pPr>
              <w:pStyle w:val="Rquotation"/>
              <w:tabs>
                <w:tab w:val="decimal" w:pos="456"/>
              </w:tabs>
              <w:spacing w:before="20" w:after="20"/>
              <w:ind w:left="0"/>
              <w:rPr>
                <w:rFonts w:cs="Arial"/>
                <w:b/>
                <w:sz w:val="22"/>
              </w:rPr>
            </w:pPr>
            <w:r>
              <w:rPr>
                <w:rFonts w:cs="Arial"/>
                <w:b/>
                <w:sz w:val="22"/>
              </w:rPr>
              <w:t>476</w:t>
            </w:r>
          </w:p>
        </w:tc>
        <w:tc>
          <w:tcPr>
            <w:tcW w:w="850" w:type="dxa"/>
            <w:shd w:val="clear" w:color="auto" w:fill="D9D9D9" w:themeFill="background1" w:themeFillShade="D9"/>
          </w:tcPr>
          <w:p w14:paraId="7973B653" w14:textId="77777777" w:rsidR="00286F5F" w:rsidRPr="002F76C8" w:rsidRDefault="00BF0238" w:rsidP="00286F5F">
            <w:pPr>
              <w:pStyle w:val="Rquotation"/>
              <w:tabs>
                <w:tab w:val="decimal" w:pos="513"/>
              </w:tabs>
              <w:spacing w:before="20" w:after="20"/>
              <w:ind w:left="0"/>
              <w:rPr>
                <w:rFonts w:cs="Arial"/>
                <w:b/>
                <w:sz w:val="22"/>
              </w:rPr>
            </w:pPr>
            <w:r w:rsidRPr="002F76C8">
              <w:rPr>
                <w:rFonts w:cs="Arial"/>
                <w:b/>
                <w:sz w:val="22"/>
              </w:rPr>
              <w:t>100%</w:t>
            </w:r>
          </w:p>
        </w:tc>
        <w:tc>
          <w:tcPr>
            <w:tcW w:w="709" w:type="dxa"/>
            <w:shd w:val="clear" w:color="auto" w:fill="D9D9D9" w:themeFill="background1" w:themeFillShade="D9"/>
          </w:tcPr>
          <w:p w14:paraId="672679D2" w14:textId="77777777" w:rsidR="00286F5F" w:rsidRPr="002F76C8" w:rsidRDefault="00BF0238" w:rsidP="00286F5F">
            <w:pPr>
              <w:pStyle w:val="Rquotation"/>
              <w:tabs>
                <w:tab w:val="decimal" w:pos="460"/>
              </w:tabs>
              <w:spacing w:before="20" w:after="20"/>
              <w:ind w:left="0"/>
              <w:rPr>
                <w:rFonts w:cs="Arial"/>
                <w:b/>
                <w:sz w:val="22"/>
              </w:rPr>
            </w:pPr>
            <w:r>
              <w:rPr>
                <w:rFonts w:cs="Arial"/>
                <w:b/>
                <w:sz w:val="22"/>
              </w:rPr>
              <w:t>35</w:t>
            </w:r>
          </w:p>
        </w:tc>
        <w:tc>
          <w:tcPr>
            <w:tcW w:w="1134" w:type="dxa"/>
            <w:shd w:val="clear" w:color="auto" w:fill="D9D9D9" w:themeFill="background1" w:themeFillShade="D9"/>
          </w:tcPr>
          <w:p w14:paraId="4A1C6E3E" w14:textId="77777777" w:rsidR="00286F5F" w:rsidRPr="002F76C8" w:rsidRDefault="00BF0238" w:rsidP="00286F5F">
            <w:pPr>
              <w:pStyle w:val="Rquotation"/>
              <w:tabs>
                <w:tab w:val="decimal" w:pos="685"/>
              </w:tabs>
              <w:spacing w:before="20" w:after="20"/>
              <w:ind w:left="0"/>
              <w:rPr>
                <w:rFonts w:cs="Arial"/>
                <w:b/>
                <w:sz w:val="22"/>
              </w:rPr>
            </w:pPr>
            <w:r>
              <w:rPr>
                <w:rFonts w:cs="Arial"/>
                <w:b/>
                <w:sz w:val="22"/>
              </w:rPr>
              <w:t>277</w:t>
            </w:r>
          </w:p>
        </w:tc>
        <w:tc>
          <w:tcPr>
            <w:tcW w:w="850" w:type="dxa"/>
            <w:shd w:val="clear" w:color="auto" w:fill="D9D9D9" w:themeFill="background1" w:themeFillShade="D9"/>
          </w:tcPr>
          <w:p w14:paraId="3FBE0B27" w14:textId="77777777" w:rsidR="00286F5F" w:rsidRPr="002F76C8" w:rsidRDefault="00BF0238" w:rsidP="00286F5F">
            <w:pPr>
              <w:pStyle w:val="Rquotation"/>
              <w:tabs>
                <w:tab w:val="decimal" w:pos="420"/>
              </w:tabs>
              <w:spacing w:before="20" w:after="20"/>
              <w:ind w:left="0"/>
              <w:rPr>
                <w:rFonts w:cs="Arial"/>
                <w:b/>
                <w:sz w:val="22"/>
              </w:rPr>
            </w:pPr>
            <w:r>
              <w:rPr>
                <w:rFonts w:cs="Arial"/>
                <w:b/>
                <w:sz w:val="22"/>
              </w:rPr>
              <w:t>164</w:t>
            </w:r>
          </w:p>
        </w:tc>
      </w:tr>
      <w:tr w:rsidR="00E723C3" w14:paraId="5135C7E3" w14:textId="77777777" w:rsidTr="00FE004D">
        <w:tc>
          <w:tcPr>
            <w:tcW w:w="1271" w:type="dxa"/>
            <w:tcBorders>
              <w:right w:val="nil"/>
            </w:tcBorders>
          </w:tcPr>
          <w:p w14:paraId="461AF117" w14:textId="77777777" w:rsidR="005245D1" w:rsidRPr="000030BA" w:rsidRDefault="00BF0238" w:rsidP="005245D1">
            <w:pPr>
              <w:pStyle w:val="Rquotation"/>
              <w:spacing w:before="20" w:after="20"/>
              <w:ind w:left="0"/>
              <w:rPr>
                <w:rFonts w:cs="Arial"/>
                <w:b/>
                <w:sz w:val="22"/>
              </w:rPr>
            </w:pPr>
            <w:r w:rsidRPr="000030BA">
              <w:rPr>
                <w:rFonts w:cs="Arial"/>
                <w:sz w:val="22"/>
              </w:rPr>
              <w:t>Arising in:</w:t>
            </w:r>
          </w:p>
        </w:tc>
        <w:tc>
          <w:tcPr>
            <w:tcW w:w="2977" w:type="dxa"/>
            <w:gridSpan w:val="3"/>
            <w:tcBorders>
              <w:left w:val="nil"/>
            </w:tcBorders>
          </w:tcPr>
          <w:p w14:paraId="129FCE68" w14:textId="77777777" w:rsidR="005245D1" w:rsidRPr="000030BA" w:rsidRDefault="00BF0238" w:rsidP="005245D1">
            <w:pPr>
              <w:pStyle w:val="Rquotation"/>
              <w:spacing w:before="20" w:after="20"/>
              <w:ind w:left="0"/>
              <w:rPr>
                <w:rFonts w:cs="Arial"/>
                <w:b/>
                <w:sz w:val="22"/>
              </w:rPr>
            </w:pPr>
            <w:r w:rsidRPr="000030BA">
              <w:rPr>
                <w:rFonts w:cs="Arial"/>
                <w:b/>
                <w:sz w:val="22"/>
              </w:rPr>
              <w:t>2017/18</w:t>
            </w:r>
          </w:p>
        </w:tc>
        <w:tc>
          <w:tcPr>
            <w:tcW w:w="709" w:type="dxa"/>
          </w:tcPr>
          <w:p w14:paraId="17BE3776" w14:textId="77777777" w:rsidR="005245D1" w:rsidRPr="000030BA" w:rsidRDefault="00BF0238" w:rsidP="005245D1">
            <w:pPr>
              <w:pStyle w:val="Rquotation"/>
              <w:tabs>
                <w:tab w:val="decimal" w:pos="456"/>
              </w:tabs>
              <w:spacing w:before="20" w:after="20"/>
              <w:ind w:left="0"/>
              <w:rPr>
                <w:rFonts w:cs="Arial"/>
                <w:b/>
                <w:sz w:val="22"/>
              </w:rPr>
            </w:pPr>
            <w:r>
              <w:rPr>
                <w:rFonts w:cs="Arial"/>
                <w:b/>
                <w:sz w:val="22"/>
              </w:rPr>
              <w:t>196</w:t>
            </w:r>
          </w:p>
        </w:tc>
        <w:tc>
          <w:tcPr>
            <w:tcW w:w="850" w:type="dxa"/>
          </w:tcPr>
          <w:p w14:paraId="77626EE0" w14:textId="77777777" w:rsidR="005245D1" w:rsidRPr="000030BA" w:rsidRDefault="00BF0238" w:rsidP="003F43BF">
            <w:pPr>
              <w:pStyle w:val="Rquotation"/>
              <w:tabs>
                <w:tab w:val="decimal" w:pos="513"/>
              </w:tabs>
              <w:spacing w:before="20" w:after="20"/>
              <w:ind w:left="0"/>
              <w:rPr>
                <w:rFonts w:cs="Arial"/>
                <w:sz w:val="22"/>
              </w:rPr>
            </w:pPr>
            <w:r w:rsidRPr="000030BA">
              <w:rPr>
                <w:rFonts w:cs="Arial"/>
                <w:sz w:val="22"/>
              </w:rPr>
              <w:t>4</w:t>
            </w:r>
            <w:r>
              <w:rPr>
                <w:rFonts w:cs="Arial"/>
                <w:sz w:val="22"/>
              </w:rPr>
              <w:t>1</w:t>
            </w:r>
            <w:r w:rsidRPr="000030BA">
              <w:rPr>
                <w:rFonts w:cs="Arial"/>
                <w:sz w:val="22"/>
              </w:rPr>
              <w:t>%</w:t>
            </w:r>
          </w:p>
        </w:tc>
        <w:tc>
          <w:tcPr>
            <w:tcW w:w="709" w:type="dxa"/>
          </w:tcPr>
          <w:p w14:paraId="16446C62" w14:textId="77777777" w:rsidR="005245D1" w:rsidRPr="000030BA" w:rsidRDefault="00BF0238" w:rsidP="005245D1">
            <w:pPr>
              <w:pStyle w:val="Rquotation"/>
              <w:tabs>
                <w:tab w:val="decimal" w:pos="460"/>
              </w:tabs>
              <w:spacing w:before="20" w:after="20"/>
              <w:ind w:left="0"/>
              <w:rPr>
                <w:rFonts w:cs="Arial"/>
                <w:sz w:val="22"/>
              </w:rPr>
            </w:pPr>
            <w:r w:rsidRPr="000030BA">
              <w:rPr>
                <w:rFonts w:cs="Arial"/>
                <w:sz w:val="22"/>
              </w:rPr>
              <w:t>18</w:t>
            </w:r>
          </w:p>
        </w:tc>
        <w:tc>
          <w:tcPr>
            <w:tcW w:w="1134" w:type="dxa"/>
          </w:tcPr>
          <w:p w14:paraId="59FE9962" w14:textId="77777777" w:rsidR="005245D1" w:rsidRPr="000030BA" w:rsidRDefault="00BF0238" w:rsidP="005245D1">
            <w:pPr>
              <w:pStyle w:val="Rquotation"/>
              <w:tabs>
                <w:tab w:val="decimal" w:pos="685"/>
              </w:tabs>
              <w:spacing w:before="20" w:after="20"/>
              <w:ind w:left="0"/>
              <w:rPr>
                <w:rFonts w:cs="Arial"/>
                <w:sz w:val="22"/>
              </w:rPr>
            </w:pPr>
            <w:r w:rsidRPr="000030BA">
              <w:rPr>
                <w:rFonts w:cs="Arial"/>
                <w:sz w:val="22"/>
              </w:rPr>
              <w:t>117</w:t>
            </w:r>
          </w:p>
        </w:tc>
        <w:tc>
          <w:tcPr>
            <w:tcW w:w="850" w:type="dxa"/>
          </w:tcPr>
          <w:p w14:paraId="174F1DC5" w14:textId="77777777" w:rsidR="005245D1" w:rsidRPr="000030BA" w:rsidRDefault="00BF0238" w:rsidP="005245D1">
            <w:pPr>
              <w:pStyle w:val="Rquotation"/>
              <w:tabs>
                <w:tab w:val="decimal" w:pos="420"/>
              </w:tabs>
              <w:spacing w:before="20" w:after="20"/>
              <w:ind w:left="0"/>
              <w:rPr>
                <w:rFonts w:cs="Arial"/>
                <w:sz w:val="22"/>
              </w:rPr>
            </w:pPr>
            <w:r>
              <w:rPr>
                <w:rFonts w:cs="Arial"/>
                <w:sz w:val="22"/>
              </w:rPr>
              <w:t>61</w:t>
            </w:r>
          </w:p>
        </w:tc>
      </w:tr>
      <w:tr w:rsidR="00E723C3" w14:paraId="13B41993" w14:textId="77777777" w:rsidTr="00FE004D">
        <w:tc>
          <w:tcPr>
            <w:tcW w:w="1271" w:type="dxa"/>
            <w:tcBorders>
              <w:right w:val="nil"/>
            </w:tcBorders>
          </w:tcPr>
          <w:p w14:paraId="17422795" w14:textId="77777777" w:rsidR="005245D1" w:rsidRPr="000030BA" w:rsidRDefault="00D6316E" w:rsidP="005245D1">
            <w:pPr>
              <w:pStyle w:val="Rquotation"/>
              <w:spacing w:before="20" w:after="20"/>
              <w:ind w:left="0"/>
              <w:rPr>
                <w:rFonts w:cs="Arial"/>
                <w:b/>
                <w:sz w:val="22"/>
              </w:rPr>
            </w:pPr>
          </w:p>
        </w:tc>
        <w:tc>
          <w:tcPr>
            <w:tcW w:w="2977" w:type="dxa"/>
            <w:gridSpan w:val="3"/>
            <w:tcBorders>
              <w:left w:val="nil"/>
            </w:tcBorders>
          </w:tcPr>
          <w:p w14:paraId="5FF549FB" w14:textId="77777777" w:rsidR="005245D1" w:rsidRPr="000030BA" w:rsidRDefault="00BF0238" w:rsidP="005245D1">
            <w:pPr>
              <w:pStyle w:val="Rquotation"/>
              <w:spacing w:before="20" w:after="20"/>
              <w:ind w:left="0"/>
              <w:rPr>
                <w:rFonts w:cs="Arial"/>
                <w:b/>
                <w:sz w:val="22"/>
              </w:rPr>
            </w:pPr>
            <w:r w:rsidRPr="000030BA">
              <w:rPr>
                <w:rFonts w:cs="Arial"/>
                <w:b/>
                <w:sz w:val="22"/>
              </w:rPr>
              <w:t>2018/19</w:t>
            </w:r>
          </w:p>
        </w:tc>
        <w:tc>
          <w:tcPr>
            <w:tcW w:w="709" w:type="dxa"/>
          </w:tcPr>
          <w:p w14:paraId="60240DA1" w14:textId="77777777" w:rsidR="005245D1" w:rsidRPr="000030BA" w:rsidRDefault="00BF0238" w:rsidP="005245D1">
            <w:pPr>
              <w:pStyle w:val="Rquotation"/>
              <w:tabs>
                <w:tab w:val="decimal" w:pos="456"/>
              </w:tabs>
              <w:spacing w:before="20" w:after="20"/>
              <w:ind w:left="0"/>
              <w:rPr>
                <w:rFonts w:cs="Arial"/>
                <w:b/>
                <w:sz w:val="22"/>
              </w:rPr>
            </w:pPr>
            <w:r>
              <w:rPr>
                <w:rFonts w:cs="Arial"/>
                <w:b/>
                <w:sz w:val="22"/>
              </w:rPr>
              <w:t>254</w:t>
            </w:r>
          </w:p>
        </w:tc>
        <w:tc>
          <w:tcPr>
            <w:tcW w:w="850" w:type="dxa"/>
          </w:tcPr>
          <w:p w14:paraId="622BC575" w14:textId="77777777" w:rsidR="005245D1" w:rsidRPr="000030BA" w:rsidRDefault="00BF0238" w:rsidP="00CA6722">
            <w:pPr>
              <w:pStyle w:val="Rquotation"/>
              <w:tabs>
                <w:tab w:val="decimal" w:pos="513"/>
              </w:tabs>
              <w:spacing w:before="20" w:after="20"/>
              <w:ind w:left="0"/>
              <w:rPr>
                <w:rFonts w:cs="Arial"/>
                <w:sz w:val="22"/>
              </w:rPr>
            </w:pPr>
            <w:r w:rsidRPr="000030BA">
              <w:rPr>
                <w:rFonts w:cs="Arial"/>
                <w:sz w:val="22"/>
              </w:rPr>
              <w:t>5</w:t>
            </w:r>
            <w:r>
              <w:rPr>
                <w:rFonts w:cs="Arial"/>
                <w:sz w:val="22"/>
              </w:rPr>
              <w:t>4</w:t>
            </w:r>
            <w:r w:rsidRPr="000030BA">
              <w:rPr>
                <w:rFonts w:cs="Arial"/>
                <w:sz w:val="22"/>
              </w:rPr>
              <w:t>%</w:t>
            </w:r>
          </w:p>
        </w:tc>
        <w:tc>
          <w:tcPr>
            <w:tcW w:w="709" w:type="dxa"/>
          </w:tcPr>
          <w:p w14:paraId="44430FE4" w14:textId="77777777" w:rsidR="005245D1" w:rsidRPr="000030BA" w:rsidRDefault="00BF0238" w:rsidP="005245D1">
            <w:pPr>
              <w:pStyle w:val="Rquotation"/>
              <w:tabs>
                <w:tab w:val="decimal" w:pos="460"/>
              </w:tabs>
              <w:spacing w:before="20" w:after="20"/>
              <w:ind w:left="0"/>
              <w:rPr>
                <w:rFonts w:cs="Arial"/>
                <w:sz w:val="22"/>
              </w:rPr>
            </w:pPr>
            <w:r w:rsidRPr="000030BA">
              <w:rPr>
                <w:rFonts w:cs="Arial"/>
                <w:sz w:val="22"/>
              </w:rPr>
              <w:t>1</w:t>
            </w:r>
            <w:r>
              <w:rPr>
                <w:rFonts w:cs="Arial"/>
                <w:sz w:val="22"/>
              </w:rPr>
              <w:t>6</w:t>
            </w:r>
          </w:p>
        </w:tc>
        <w:tc>
          <w:tcPr>
            <w:tcW w:w="1134" w:type="dxa"/>
          </w:tcPr>
          <w:p w14:paraId="5BC5775E" w14:textId="77777777" w:rsidR="005245D1" w:rsidRPr="000030BA" w:rsidRDefault="00BF0238" w:rsidP="005245D1">
            <w:pPr>
              <w:pStyle w:val="Rquotation"/>
              <w:tabs>
                <w:tab w:val="decimal" w:pos="685"/>
              </w:tabs>
              <w:spacing w:before="20" w:after="20"/>
              <w:ind w:left="0"/>
              <w:rPr>
                <w:rFonts w:cs="Arial"/>
                <w:sz w:val="22"/>
              </w:rPr>
            </w:pPr>
            <w:r w:rsidRPr="000030BA">
              <w:rPr>
                <w:rFonts w:cs="Arial"/>
                <w:sz w:val="22"/>
              </w:rPr>
              <w:t>1</w:t>
            </w:r>
            <w:r>
              <w:rPr>
                <w:rFonts w:cs="Arial"/>
                <w:sz w:val="22"/>
              </w:rPr>
              <w:t>51</w:t>
            </w:r>
          </w:p>
        </w:tc>
        <w:tc>
          <w:tcPr>
            <w:tcW w:w="850" w:type="dxa"/>
          </w:tcPr>
          <w:p w14:paraId="41812D4F" w14:textId="77777777" w:rsidR="005245D1" w:rsidRPr="000030BA" w:rsidRDefault="00BF0238" w:rsidP="005245D1">
            <w:pPr>
              <w:pStyle w:val="Rquotation"/>
              <w:tabs>
                <w:tab w:val="decimal" w:pos="420"/>
              </w:tabs>
              <w:spacing w:before="20" w:after="20"/>
              <w:ind w:left="0"/>
              <w:rPr>
                <w:rFonts w:cs="Arial"/>
                <w:sz w:val="22"/>
              </w:rPr>
            </w:pPr>
            <w:r>
              <w:rPr>
                <w:rFonts w:cs="Arial"/>
                <w:sz w:val="22"/>
              </w:rPr>
              <w:t>87</w:t>
            </w:r>
          </w:p>
        </w:tc>
      </w:tr>
      <w:tr w:rsidR="00E723C3" w14:paraId="6DF23042" w14:textId="77777777" w:rsidTr="00FE004D">
        <w:tc>
          <w:tcPr>
            <w:tcW w:w="1271" w:type="dxa"/>
            <w:tcBorders>
              <w:right w:val="nil"/>
            </w:tcBorders>
          </w:tcPr>
          <w:p w14:paraId="7F45E920" w14:textId="77777777" w:rsidR="005245D1" w:rsidRPr="000030BA" w:rsidRDefault="00D6316E" w:rsidP="005245D1">
            <w:pPr>
              <w:pStyle w:val="Rquotation"/>
              <w:spacing w:before="20" w:after="20"/>
              <w:ind w:left="0"/>
              <w:rPr>
                <w:rFonts w:cs="Arial"/>
                <w:b/>
                <w:sz w:val="22"/>
              </w:rPr>
            </w:pPr>
          </w:p>
        </w:tc>
        <w:tc>
          <w:tcPr>
            <w:tcW w:w="2977" w:type="dxa"/>
            <w:gridSpan w:val="3"/>
            <w:tcBorders>
              <w:left w:val="nil"/>
            </w:tcBorders>
          </w:tcPr>
          <w:p w14:paraId="380D70D4" w14:textId="77777777" w:rsidR="005245D1" w:rsidRPr="000030BA" w:rsidRDefault="00BF0238" w:rsidP="005245D1">
            <w:pPr>
              <w:pStyle w:val="Rquotation"/>
              <w:spacing w:before="20" w:after="20"/>
              <w:ind w:left="0"/>
              <w:rPr>
                <w:rFonts w:cs="Arial"/>
                <w:b/>
                <w:sz w:val="22"/>
              </w:rPr>
            </w:pPr>
            <w:r w:rsidRPr="000030BA">
              <w:rPr>
                <w:rFonts w:cs="Arial"/>
                <w:b/>
                <w:sz w:val="22"/>
              </w:rPr>
              <w:t>2019/20</w:t>
            </w:r>
          </w:p>
        </w:tc>
        <w:tc>
          <w:tcPr>
            <w:tcW w:w="709" w:type="dxa"/>
          </w:tcPr>
          <w:p w14:paraId="76AE46C2" w14:textId="77777777" w:rsidR="005245D1" w:rsidRPr="002F76C8" w:rsidRDefault="00BF0238" w:rsidP="005245D1">
            <w:pPr>
              <w:pStyle w:val="Rquotation"/>
              <w:tabs>
                <w:tab w:val="decimal" w:pos="456"/>
              </w:tabs>
              <w:spacing w:before="20" w:after="20"/>
              <w:ind w:left="0"/>
              <w:rPr>
                <w:rFonts w:cs="Arial"/>
                <w:b/>
                <w:sz w:val="22"/>
              </w:rPr>
            </w:pPr>
            <w:r w:rsidRPr="002F76C8">
              <w:rPr>
                <w:rFonts w:cs="Arial"/>
                <w:b/>
                <w:sz w:val="22"/>
              </w:rPr>
              <w:t>26</w:t>
            </w:r>
          </w:p>
        </w:tc>
        <w:tc>
          <w:tcPr>
            <w:tcW w:w="850" w:type="dxa"/>
          </w:tcPr>
          <w:p w14:paraId="16DD8733" w14:textId="77777777" w:rsidR="005245D1" w:rsidRPr="002F76C8" w:rsidRDefault="00BF0238" w:rsidP="005245D1">
            <w:pPr>
              <w:pStyle w:val="Rquotation"/>
              <w:tabs>
                <w:tab w:val="decimal" w:pos="513"/>
              </w:tabs>
              <w:spacing w:before="20" w:after="20"/>
              <w:ind w:left="0"/>
              <w:rPr>
                <w:rFonts w:cs="Arial"/>
                <w:sz w:val="22"/>
              </w:rPr>
            </w:pPr>
            <w:r>
              <w:rPr>
                <w:rFonts w:cs="Arial"/>
                <w:sz w:val="22"/>
              </w:rPr>
              <w:t>5</w:t>
            </w:r>
            <w:r w:rsidRPr="002F76C8">
              <w:rPr>
                <w:rFonts w:cs="Arial"/>
                <w:sz w:val="22"/>
              </w:rPr>
              <w:t>%</w:t>
            </w:r>
          </w:p>
        </w:tc>
        <w:tc>
          <w:tcPr>
            <w:tcW w:w="709" w:type="dxa"/>
          </w:tcPr>
          <w:p w14:paraId="4B9879C8" w14:textId="77777777" w:rsidR="005245D1" w:rsidRPr="002F76C8" w:rsidRDefault="00BF0238" w:rsidP="005245D1">
            <w:pPr>
              <w:pStyle w:val="Rquotation"/>
              <w:tabs>
                <w:tab w:val="decimal" w:pos="460"/>
              </w:tabs>
              <w:spacing w:before="20" w:after="20"/>
              <w:ind w:left="0"/>
              <w:rPr>
                <w:rFonts w:cs="Arial"/>
                <w:sz w:val="22"/>
              </w:rPr>
            </w:pPr>
            <w:r>
              <w:rPr>
                <w:rFonts w:cs="Arial"/>
                <w:sz w:val="22"/>
              </w:rPr>
              <w:t>1</w:t>
            </w:r>
          </w:p>
        </w:tc>
        <w:tc>
          <w:tcPr>
            <w:tcW w:w="1134" w:type="dxa"/>
          </w:tcPr>
          <w:p w14:paraId="3384C7B9" w14:textId="77777777" w:rsidR="005245D1" w:rsidRPr="002F76C8" w:rsidRDefault="00BF0238" w:rsidP="005245D1">
            <w:pPr>
              <w:pStyle w:val="Rquotation"/>
              <w:tabs>
                <w:tab w:val="decimal" w:pos="685"/>
              </w:tabs>
              <w:spacing w:before="20" w:after="20"/>
              <w:ind w:left="0"/>
              <w:rPr>
                <w:rFonts w:cs="Arial"/>
                <w:sz w:val="22"/>
              </w:rPr>
            </w:pPr>
            <w:r>
              <w:rPr>
                <w:rFonts w:cs="Arial"/>
                <w:sz w:val="22"/>
              </w:rPr>
              <w:t>9</w:t>
            </w:r>
          </w:p>
        </w:tc>
        <w:tc>
          <w:tcPr>
            <w:tcW w:w="850" w:type="dxa"/>
          </w:tcPr>
          <w:p w14:paraId="07EEC46D" w14:textId="77777777" w:rsidR="005245D1" w:rsidRPr="002F76C8" w:rsidRDefault="00BF0238" w:rsidP="005245D1">
            <w:pPr>
              <w:pStyle w:val="Rquotation"/>
              <w:tabs>
                <w:tab w:val="decimal" w:pos="420"/>
              </w:tabs>
              <w:spacing w:before="20" w:after="20"/>
              <w:ind w:left="0"/>
              <w:rPr>
                <w:rFonts w:cs="Arial"/>
                <w:sz w:val="22"/>
              </w:rPr>
            </w:pPr>
            <w:r>
              <w:rPr>
                <w:rFonts w:cs="Arial"/>
                <w:sz w:val="22"/>
              </w:rPr>
              <w:t>1</w:t>
            </w:r>
            <w:r w:rsidRPr="002F76C8">
              <w:rPr>
                <w:rFonts w:cs="Arial"/>
                <w:sz w:val="22"/>
              </w:rPr>
              <w:t>6</w:t>
            </w:r>
          </w:p>
        </w:tc>
      </w:tr>
    </w:tbl>
    <w:p w14:paraId="7F3249AF" w14:textId="77777777" w:rsidR="0062439C" w:rsidRDefault="00BF0238" w:rsidP="00A3155E">
      <w:pPr>
        <w:pStyle w:val="Rparagraph"/>
      </w:pPr>
      <w:r>
        <w:t xml:space="preserve">All the actions agreed in years prior to </w:t>
      </w:r>
      <w:r w:rsidRPr="000E1FF9">
        <w:t xml:space="preserve">2017/18 </w:t>
      </w:r>
      <w:r>
        <w:t>have been addressed or superseded.</w:t>
      </w:r>
    </w:p>
    <w:p w14:paraId="4741CC90" w14:textId="77777777" w:rsidR="001A118A" w:rsidRDefault="00BF0238" w:rsidP="00225771">
      <w:pPr>
        <w:pStyle w:val="Rsub-heading"/>
      </w:pPr>
      <w:r>
        <w:t>Actions arising in 2017/18</w:t>
      </w:r>
    </w:p>
    <w:p w14:paraId="4251923E" w14:textId="77777777" w:rsidR="00A80297" w:rsidRPr="00790AC3" w:rsidRDefault="00BF0238" w:rsidP="008E557D">
      <w:pPr>
        <w:pStyle w:val="Rparagraph"/>
      </w:pPr>
      <w:r>
        <w:t xml:space="preserve">In October six actions arising from 2017/18 had not been completed and the committee will receive separate reports explaining progress on the two actions that addressed high risks – the transition of service users from children's to adult </w:t>
      </w:r>
      <w:r w:rsidRPr="00A3155E">
        <w:t>services</w:t>
      </w:r>
      <w:r>
        <w:t>,</w:t>
      </w:r>
      <w:r w:rsidRPr="00A3155E">
        <w:t xml:space="preserve"> and </w:t>
      </w:r>
      <w:r>
        <w:t>p</w:t>
      </w:r>
      <w:r w:rsidRPr="00A3155E">
        <w:rPr>
          <w:rStyle w:val="RparagraphChar"/>
          <w:color w:val="auto"/>
          <w:spacing w:val="0"/>
        </w:rPr>
        <w:t>ersonal budgets for children's service users and direct payments to their carers</w:t>
      </w:r>
      <w:r>
        <w:rPr>
          <w:rStyle w:val="RparagraphChar"/>
          <w:color w:val="auto"/>
          <w:spacing w:val="0"/>
        </w:rPr>
        <w:t xml:space="preserve"> – and </w:t>
      </w:r>
      <w:r w:rsidRPr="00790AC3">
        <w:rPr>
          <w:rStyle w:val="RparagraphChar"/>
          <w:color w:val="auto"/>
          <w:spacing w:val="0"/>
        </w:rPr>
        <w:t xml:space="preserve">the implementation of a case-load tracker within the adult services' system (LAS). </w:t>
      </w:r>
      <w:r>
        <w:rPr>
          <w:rStyle w:val="RparagraphChar"/>
          <w:color w:val="auto"/>
          <w:spacing w:val="0"/>
        </w:rPr>
        <w:t xml:space="preserve">The </w:t>
      </w:r>
      <w:r w:rsidRPr="00790AC3">
        <w:rPr>
          <w:rStyle w:val="RparagraphChar"/>
          <w:color w:val="auto"/>
          <w:spacing w:val="0"/>
        </w:rPr>
        <w:t xml:space="preserve">register of the risks to the council's capital programme has </w:t>
      </w:r>
      <w:r>
        <w:rPr>
          <w:rStyle w:val="RparagraphChar"/>
          <w:color w:val="auto"/>
          <w:spacing w:val="0"/>
        </w:rPr>
        <w:t xml:space="preserve">now </w:t>
      </w:r>
      <w:r w:rsidRPr="00790AC3">
        <w:rPr>
          <w:rStyle w:val="RparagraphChar"/>
          <w:color w:val="auto"/>
          <w:spacing w:val="0"/>
        </w:rPr>
        <w:t>been finalised.</w:t>
      </w:r>
    </w:p>
    <w:p w14:paraId="4E643DDF" w14:textId="77777777" w:rsidR="00790AC3" w:rsidRDefault="00BF0238" w:rsidP="00435720">
      <w:pPr>
        <w:pStyle w:val="Rheading"/>
      </w:pPr>
      <w:r>
        <w:t>Audit work completed on governance controls</w:t>
      </w:r>
    </w:p>
    <w:p w14:paraId="76A67CAF" w14:textId="77777777" w:rsidR="00790AC3" w:rsidRPr="00C14036" w:rsidRDefault="00BF0238" w:rsidP="00225771">
      <w:pPr>
        <w:pStyle w:val="Rsub-heading"/>
      </w:pPr>
      <w:r>
        <w:t>Risk management</w:t>
      </w:r>
      <w:r w:rsidRPr="00982FDB">
        <w:t xml:space="preserve"> </w:t>
      </w:r>
      <w:r>
        <w:tab/>
      </w:r>
      <w:r w:rsidRPr="00225771">
        <w:rPr>
          <w:b w:val="0"/>
        </w:rPr>
        <w:t>(Substantial assurance: type 1+2)</w:t>
      </w:r>
    </w:p>
    <w:p w14:paraId="6C0A3C42" w14:textId="77777777" w:rsidR="00790AC3" w:rsidRPr="00790AC3" w:rsidRDefault="00BF0238" w:rsidP="00790AC3">
      <w:pPr>
        <w:pStyle w:val="Rparagraph"/>
      </w:pPr>
      <w:r w:rsidRPr="00790AC3">
        <w:t>The council's risk management framework is based on international standards. It is embedded in the council's governance and decision making processes, identifies and reports key service and corporate risks and is periodically reviewed. It is supported by guidance, training and service-based risk champions, and effective action is taken to ensure service risk registers are updated quarterly. These, together with wider corporate and cross-cutting risks, inform the corporate risk register. Mitigating action is identified, reported and monitored.</w:t>
      </w:r>
    </w:p>
    <w:p w14:paraId="5FB6A563" w14:textId="15F20F98" w:rsidR="00790AC3" w:rsidRDefault="00BF0238" w:rsidP="00790AC3">
      <w:pPr>
        <w:pStyle w:val="Rparagraph"/>
      </w:pPr>
      <w:r w:rsidRPr="00790AC3">
        <w:t>Further improvements to the risk management framework are being trialled by Education and Children's Services. This will put directors at the centre of identifying strategic risks, and introduce more flexible reporting and a target risk rating</w:t>
      </w:r>
      <w:r>
        <w:t>.</w:t>
      </w:r>
    </w:p>
    <w:p w14:paraId="024CE47B" w14:textId="17DC4484" w:rsidR="00D6316E" w:rsidRDefault="00D6316E" w:rsidP="00D6316E">
      <w:pPr>
        <w:pStyle w:val="Rheading"/>
        <w:numPr>
          <w:ilvl w:val="0"/>
          <w:numId w:val="0"/>
        </w:numPr>
        <w:ind w:left="567" w:hanging="567"/>
      </w:pPr>
    </w:p>
    <w:p w14:paraId="783D4588" w14:textId="77777777" w:rsidR="00D6316E" w:rsidRDefault="00D6316E" w:rsidP="00D6316E">
      <w:pPr>
        <w:pStyle w:val="Rheading"/>
        <w:numPr>
          <w:ilvl w:val="0"/>
          <w:numId w:val="0"/>
        </w:numPr>
        <w:ind w:left="567" w:hanging="567"/>
      </w:pPr>
      <w:bookmarkStart w:id="0" w:name="_GoBack"/>
      <w:bookmarkEnd w:id="0"/>
    </w:p>
    <w:p w14:paraId="7CF3B914" w14:textId="77777777" w:rsidR="00435720" w:rsidRDefault="00BF0238" w:rsidP="00435720">
      <w:pPr>
        <w:pStyle w:val="Rheading"/>
      </w:pPr>
      <w:r>
        <w:lastRenderedPageBreak/>
        <w:t>Audit work completed on service delivery controls: Adult Services and Health &amp; Wellbeing</w:t>
      </w:r>
    </w:p>
    <w:p w14:paraId="2D10269C" w14:textId="77777777" w:rsidR="00D708AD" w:rsidRDefault="00BF0238" w:rsidP="00404CFD">
      <w:pPr>
        <w:pStyle w:val="Rsub-headinghalf"/>
        <w:rPr>
          <w:lang w:eastAsia="en-GB"/>
        </w:rPr>
      </w:pPr>
      <w:r>
        <w:rPr>
          <w:lang w:eastAsia="en-GB"/>
        </w:rPr>
        <w:t>Older People Service's audit and assurance arrangements</w:t>
      </w:r>
    </w:p>
    <w:p w14:paraId="5FA5E957" w14:textId="77777777" w:rsidR="005245D1" w:rsidRDefault="00BF0238" w:rsidP="00404CFD">
      <w:pPr>
        <w:pStyle w:val="Sub-heading2ndhalf"/>
        <w:rPr>
          <w:lang w:eastAsia="en-GB"/>
        </w:rPr>
      </w:pPr>
      <w:r>
        <w:rPr>
          <w:b/>
          <w:lang w:eastAsia="en-GB"/>
        </w:rPr>
        <w:tab/>
      </w:r>
      <w:r w:rsidRPr="00D3378B">
        <w:rPr>
          <w:lang w:eastAsia="en-GB"/>
        </w:rPr>
        <w:t>(</w:t>
      </w:r>
      <w:r>
        <w:rPr>
          <w:lang w:eastAsia="en-GB"/>
        </w:rPr>
        <w:t>Moderate</w:t>
      </w:r>
      <w:r w:rsidRPr="00D3378B">
        <w:rPr>
          <w:lang w:eastAsia="en-GB"/>
        </w:rPr>
        <w:t xml:space="preserve"> assurance</w:t>
      </w:r>
      <w:r>
        <w:rPr>
          <w:lang w:eastAsia="en-GB"/>
        </w:rPr>
        <w:t>: type 1+2</w:t>
      </w:r>
      <w:r w:rsidRPr="00D3378B">
        <w:rPr>
          <w:lang w:eastAsia="en-GB"/>
        </w:rPr>
        <w:t>)</w:t>
      </w:r>
    </w:p>
    <w:p w14:paraId="7AF5910F" w14:textId="77777777" w:rsidR="00D708AD" w:rsidRPr="00E92EAE" w:rsidRDefault="00BF0238" w:rsidP="00D708AD">
      <w:pPr>
        <w:pStyle w:val="Rparagraph"/>
        <w:rPr>
          <w:b/>
        </w:rPr>
      </w:pPr>
      <w:r w:rsidRPr="00E92EAE">
        <w:t>The Older Peoples' service provides 16 residential homes for older people throughout Lancashire. Each home has a</w:t>
      </w:r>
      <w:r>
        <w:t xml:space="preserve"> r</w:t>
      </w:r>
      <w:r w:rsidRPr="00E92EAE">
        <w:t xml:space="preserve">egistered </w:t>
      </w:r>
      <w:r>
        <w:t>c</w:t>
      </w:r>
      <w:r w:rsidRPr="00E92EAE">
        <w:t xml:space="preserve">are </w:t>
      </w:r>
      <w:r>
        <w:t>m</w:t>
      </w:r>
      <w:r w:rsidRPr="00E92EAE">
        <w:t xml:space="preserve">anager who is </w:t>
      </w:r>
      <w:r>
        <w:t>responsible for</w:t>
      </w:r>
      <w:r w:rsidRPr="00E92EAE">
        <w:t xml:space="preserve"> the regulated services provided by the care home</w:t>
      </w:r>
      <w:r>
        <w:t xml:space="preserve"> and </w:t>
      </w:r>
      <w:r w:rsidRPr="00E92EAE">
        <w:t>ensure</w:t>
      </w:r>
      <w:r>
        <w:t>s</w:t>
      </w:r>
      <w:r w:rsidRPr="00E92EAE">
        <w:t xml:space="preserve"> that all staff </w:t>
      </w:r>
      <w:r>
        <w:t>comply</w:t>
      </w:r>
      <w:r w:rsidRPr="00E92EAE">
        <w:t xml:space="preserve"> with the </w:t>
      </w:r>
      <w:r>
        <w:t>c</w:t>
      </w:r>
      <w:r w:rsidRPr="00E92EAE">
        <w:t>ouncil's policies, procedures and operational guidance</w:t>
      </w:r>
      <w:r>
        <w:t>,</w:t>
      </w:r>
      <w:r w:rsidRPr="00E92EAE">
        <w:t xml:space="preserve"> which are designed to comply with </w:t>
      </w:r>
      <w:r>
        <w:t xml:space="preserve">the requirements of the </w:t>
      </w:r>
      <w:r w:rsidRPr="00E92EAE">
        <w:t>C</w:t>
      </w:r>
      <w:r>
        <w:t xml:space="preserve">are </w:t>
      </w:r>
      <w:r w:rsidRPr="00E92EAE">
        <w:t>Q</w:t>
      </w:r>
      <w:r>
        <w:t xml:space="preserve">uality </w:t>
      </w:r>
      <w:r w:rsidRPr="00E92EAE">
        <w:t>C</w:t>
      </w:r>
      <w:r>
        <w:t>ommission</w:t>
      </w:r>
      <w:r w:rsidRPr="00E92EAE">
        <w:t>.</w:t>
      </w:r>
    </w:p>
    <w:p w14:paraId="39CAE037" w14:textId="77777777" w:rsidR="00D708AD" w:rsidRPr="003B00B1" w:rsidRDefault="00BF0238" w:rsidP="00D708AD">
      <w:pPr>
        <w:pStyle w:val="Rparagraph"/>
        <w:rPr>
          <w:b/>
        </w:rPr>
      </w:pPr>
      <w:r w:rsidRPr="003B00B1">
        <w:t xml:space="preserve">The service assures itself in a number of ways that its control of medication, support planning and supervision in its homes is adequate and effective. </w:t>
      </w:r>
      <w:r>
        <w:t>However t</w:t>
      </w:r>
      <w:r w:rsidRPr="003B00B1">
        <w:t>he number of actions arising from the in-service audit work is generating significant numbers of actions for managers, which are becoming onerous: there may be more efficient ways to address the issues being identified.</w:t>
      </w:r>
    </w:p>
    <w:p w14:paraId="370869E2" w14:textId="77777777" w:rsidR="00D708AD" w:rsidRPr="00404CFD" w:rsidRDefault="00BF0238" w:rsidP="00404CFD">
      <w:pPr>
        <w:pStyle w:val="Sub-subheading"/>
      </w:pPr>
      <w:r w:rsidRPr="00404CFD">
        <w:t>Medication</w:t>
      </w:r>
    </w:p>
    <w:p w14:paraId="58D2DD04" w14:textId="77777777" w:rsidR="00D708AD" w:rsidRPr="00597069" w:rsidRDefault="00BF0238" w:rsidP="00D708AD">
      <w:pPr>
        <w:pStyle w:val="Rparagraph"/>
        <w:rPr>
          <w:b/>
        </w:rPr>
      </w:pPr>
      <w:r w:rsidRPr="00597069">
        <w:t>Managers and staff are required to confirm that they have read and understood the medication policy and procedure document</w:t>
      </w:r>
      <w:r>
        <w:t xml:space="preserve">, which is </w:t>
      </w:r>
      <w:r w:rsidRPr="00597069">
        <w:t xml:space="preserve">clear </w:t>
      </w:r>
      <w:r>
        <w:t xml:space="preserve">about </w:t>
      </w:r>
      <w:r w:rsidRPr="00597069">
        <w:t>the checks to be performed</w:t>
      </w:r>
      <w:r>
        <w:t xml:space="preserve"> and how these should be recorded,</w:t>
      </w:r>
      <w:r w:rsidRPr="00E9686A">
        <w:t xml:space="preserve"> </w:t>
      </w:r>
      <w:r>
        <w:t xml:space="preserve">including </w:t>
      </w:r>
      <w:r w:rsidRPr="00597069">
        <w:t>manager unannounced inspection visits and senior manager audits.</w:t>
      </w:r>
    </w:p>
    <w:p w14:paraId="2C75BB18" w14:textId="77777777" w:rsidR="00D708AD" w:rsidRPr="00597069" w:rsidRDefault="00BF0238" w:rsidP="00D708AD">
      <w:pPr>
        <w:pStyle w:val="Rparagraph"/>
        <w:rPr>
          <w:b/>
        </w:rPr>
      </w:pPr>
      <w:r>
        <w:t>W</w:t>
      </w:r>
      <w:r w:rsidRPr="00597069">
        <w:t xml:space="preserve">eekly medication audits are carried out </w:t>
      </w:r>
      <w:r>
        <w:t>i</w:t>
      </w:r>
      <w:r w:rsidRPr="00597069">
        <w:t xml:space="preserve">n the four homes we visited, although </w:t>
      </w:r>
      <w:r>
        <w:t xml:space="preserve">the homes take </w:t>
      </w:r>
      <w:r w:rsidRPr="00597069">
        <w:t>different approaches, with some checking each medic</w:t>
      </w:r>
      <w:r>
        <w:t>ine</w:t>
      </w:r>
      <w:r w:rsidRPr="00597069">
        <w:t xml:space="preserve"> cabinet each week and others doing this on a sample basis.  </w:t>
      </w:r>
    </w:p>
    <w:p w14:paraId="3B975CFD" w14:textId="77777777" w:rsidR="00D708AD" w:rsidRPr="0053125F" w:rsidRDefault="00BF0238" w:rsidP="00404CFD">
      <w:pPr>
        <w:pStyle w:val="Sub-subheading"/>
      </w:pPr>
      <w:r w:rsidRPr="0053125F">
        <w:t>Support planning</w:t>
      </w:r>
    </w:p>
    <w:p w14:paraId="38D72483" w14:textId="77777777" w:rsidR="00D708AD" w:rsidRPr="001D5119" w:rsidRDefault="00BF0238" w:rsidP="00D708AD">
      <w:pPr>
        <w:pStyle w:val="Rparagraph"/>
        <w:rPr>
          <w:b/>
        </w:rPr>
      </w:pPr>
      <w:r>
        <w:t xml:space="preserve">A </w:t>
      </w:r>
      <w:r w:rsidRPr="001D5119">
        <w:t xml:space="preserve">new support plan policy is currently being implemented across each of the homes. All support plans are subject to review, whether in full or more lightly, and then potentially also </w:t>
      </w:r>
      <w:r>
        <w:t xml:space="preserve">further reviewed </w:t>
      </w:r>
      <w:r w:rsidRPr="001D5119">
        <w:t xml:space="preserve">if </w:t>
      </w:r>
      <w:r>
        <w:t xml:space="preserve">they are </w:t>
      </w:r>
      <w:r w:rsidRPr="001D5119">
        <w:t>selected during an unannounced inspection by a manager or during a senior manager audit.</w:t>
      </w:r>
    </w:p>
    <w:p w14:paraId="30A07DD2" w14:textId="77777777" w:rsidR="00D708AD" w:rsidRPr="0053125F" w:rsidRDefault="00BF0238" w:rsidP="00404CFD">
      <w:pPr>
        <w:pStyle w:val="Sub-subheading"/>
      </w:pPr>
      <w:r w:rsidRPr="0053125F">
        <w:t>Supervision</w:t>
      </w:r>
    </w:p>
    <w:p w14:paraId="1807BF07" w14:textId="77777777" w:rsidR="00D708AD" w:rsidRPr="00C908CD" w:rsidRDefault="00BF0238" w:rsidP="00D708AD">
      <w:pPr>
        <w:pStyle w:val="Rparagraph"/>
        <w:rPr>
          <w:b/>
        </w:rPr>
      </w:pPr>
      <w:r>
        <w:t xml:space="preserve">The </w:t>
      </w:r>
      <w:r w:rsidRPr="00C908CD">
        <w:t>supervision policy is available on the intranet</w:t>
      </w:r>
      <w:r>
        <w:t xml:space="preserve"> but </w:t>
      </w:r>
      <w:r w:rsidRPr="00C908CD">
        <w:t>is out of date and inconsistent with current practices</w:t>
      </w:r>
      <w:r>
        <w:t xml:space="preserve">, and </w:t>
      </w:r>
      <w:r w:rsidRPr="00C908CD">
        <w:t xml:space="preserve">contains little information to support managers in </w:t>
      </w:r>
      <w:r>
        <w:t xml:space="preserve">supervising staff </w:t>
      </w:r>
      <w:r w:rsidRPr="00C908CD">
        <w:t>appropriate</w:t>
      </w:r>
      <w:r>
        <w:t>ly.</w:t>
      </w:r>
      <w:r w:rsidRPr="00C908CD">
        <w:t xml:space="preserve"> </w:t>
      </w:r>
      <w:r>
        <w:t>R</w:t>
      </w:r>
      <w:r w:rsidRPr="00C908CD">
        <w:t>ecord</w:t>
      </w:r>
      <w:r>
        <w:t>s</w:t>
      </w:r>
      <w:r w:rsidRPr="00C908CD">
        <w:t xml:space="preserve"> of supervision </w:t>
      </w:r>
      <w:r>
        <w:t xml:space="preserve">are not </w:t>
      </w:r>
      <w:r w:rsidRPr="00C908CD">
        <w:t>consistently</w:t>
      </w:r>
      <w:r>
        <w:t xml:space="preserve"> kept</w:t>
      </w:r>
      <w:r w:rsidRPr="00C908CD">
        <w:t>.</w:t>
      </w:r>
    </w:p>
    <w:p w14:paraId="7C382BEF" w14:textId="77777777" w:rsidR="00D708AD" w:rsidRPr="00C81455" w:rsidRDefault="00BF0238" w:rsidP="00D708AD">
      <w:pPr>
        <w:pStyle w:val="Rparagraph"/>
        <w:rPr>
          <w:b/>
        </w:rPr>
      </w:pPr>
      <w:r w:rsidRPr="00597069">
        <w:t xml:space="preserve">The senior operations managers regularly check the frequency of supervision meetings and are therefore aware that they are not currently being conducted for all staff or sufficiently frequently. Both the registered care managers and assistant care managers consider that they cannot complete the number of formal supervisions required without this impacting on their other duties. Routine qualitative checks on the content of supervision meetings are </w:t>
      </w:r>
      <w:r>
        <w:t>not currently being conducted.</w:t>
      </w:r>
    </w:p>
    <w:p w14:paraId="11FA591A" w14:textId="77777777" w:rsidR="004B134C" w:rsidRDefault="00BF0238">
      <w:pPr>
        <w:spacing w:after="160" w:line="259" w:lineRule="auto"/>
        <w:rPr>
          <w:rFonts w:ascii="Arial" w:eastAsiaTheme="minorEastAsia" w:hAnsi="Arial" w:cstheme="minorBidi"/>
          <w:b/>
          <w:sz w:val="24"/>
          <w:szCs w:val="22"/>
          <w:lang w:eastAsia="en-GB"/>
        </w:rPr>
      </w:pPr>
      <w:r>
        <w:rPr>
          <w:lang w:eastAsia="en-GB"/>
        </w:rPr>
        <w:br w:type="page"/>
      </w:r>
    </w:p>
    <w:p w14:paraId="4C38F5DD" w14:textId="77777777" w:rsidR="00C81455" w:rsidRPr="00C81455" w:rsidRDefault="00BF0238" w:rsidP="00404CFD">
      <w:pPr>
        <w:pStyle w:val="Rsub-headinghalf"/>
        <w:rPr>
          <w:lang w:eastAsia="en-GB"/>
        </w:rPr>
      </w:pPr>
      <w:r w:rsidRPr="00C81455">
        <w:rPr>
          <w:lang w:eastAsia="en-GB"/>
        </w:rPr>
        <w:lastRenderedPageBreak/>
        <w:t>Safeguarding service user finances in the Supported Living Service</w:t>
      </w:r>
    </w:p>
    <w:p w14:paraId="403CFAB3" w14:textId="77777777" w:rsidR="00C81455" w:rsidRPr="00C81455" w:rsidRDefault="00BF0238" w:rsidP="00404CFD">
      <w:pPr>
        <w:pStyle w:val="Sub-heading2ndhalf"/>
        <w:rPr>
          <w:lang w:eastAsia="en-GB"/>
        </w:rPr>
      </w:pPr>
      <w:r w:rsidRPr="00C81455">
        <w:rPr>
          <w:lang w:eastAsia="en-GB"/>
        </w:rPr>
        <w:tab/>
        <w:t>(Limited assurance: type 1+2)</w:t>
      </w:r>
    </w:p>
    <w:p w14:paraId="7E6A6F94" w14:textId="77777777" w:rsidR="00C81455" w:rsidRPr="00AE7D91" w:rsidRDefault="00BF0238" w:rsidP="00C81455">
      <w:pPr>
        <w:pStyle w:val="Rparagraph"/>
        <w:rPr>
          <w:b/>
        </w:rPr>
      </w:pPr>
      <w:r>
        <w:t>Service users who do not have the capacity to manage their own finances are supported by staff in the Supported Living Service</w:t>
      </w:r>
      <w:r w:rsidRPr="00AE7D91">
        <w:t xml:space="preserve"> </w:t>
      </w:r>
      <w:r>
        <w:t xml:space="preserve">to live in the community in their own home under a tenancy agreement. Service users have </w:t>
      </w:r>
      <w:r w:rsidRPr="00AE7D91">
        <w:t xml:space="preserve">their own Individual Financial Profile </w:t>
      </w:r>
      <w:r>
        <w:t xml:space="preserve">that </w:t>
      </w:r>
      <w:r w:rsidRPr="00AE7D91">
        <w:t>set</w:t>
      </w:r>
      <w:r>
        <w:t>s</w:t>
      </w:r>
      <w:r w:rsidRPr="00AE7D91">
        <w:t xml:space="preserve"> out their weekly budget </w:t>
      </w:r>
      <w:r>
        <w:t xml:space="preserve">and </w:t>
      </w:r>
      <w:r w:rsidRPr="00AE7D91">
        <w:t>incorporates costs for social activities</w:t>
      </w:r>
      <w:r>
        <w:t>.</w:t>
      </w:r>
    </w:p>
    <w:p w14:paraId="544776B4" w14:textId="77777777" w:rsidR="00C81455" w:rsidRDefault="00BF0238" w:rsidP="00C81455">
      <w:pPr>
        <w:pStyle w:val="Rparagraph"/>
        <w:rPr>
          <w:b/>
        </w:rPr>
      </w:pPr>
      <w:r>
        <w:t xml:space="preserve">We identified </w:t>
      </w:r>
      <w:r w:rsidRPr="00AE7D91">
        <w:t xml:space="preserve">no specific issues </w:t>
      </w:r>
      <w:r>
        <w:t xml:space="preserve">in </w:t>
      </w:r>
      <w:r w:rsidRPr="00AE7D91">
        <w:t>the records and receipts we examined to suggest that service user</w:t>
      </w:r>
      <w:r>
        <w:t>s'</w:t>
      </w:r>
      <w:r w:rsidRPr="00AE7D91">
        <w:t xml:space="preserve"> </w:t>
      </w:r>
      <w:r>
        <w:t xml:space="preserve">funds </w:t>
      </w:r>
      <w:r w:rsidRPr="00AE7D91">
        <w:t xml:space="preserve">have been misappropriated or inappropriately managed, </w:t>
      </w:r>
      <w:r>
        <w:t xml:space="preserve">but </w:t>
      </w:r>
      <w:r w:rsidRPr="00AE7D91">
        <w:t xml:space="preserve">the lack of compliance with policy requirements in a number of areas and limited managerial checks </w:t>
      </w:r>
      <w:r>
        <w:t xml:space="preserve">expose service users to </w:t>
      </w:r>
      <w:r w:rsidRPr="00AE7D91">
        <w:t xml:space="preserve">the risk that any misuse or mismanagement of </w:t>
      </w:r>
      <w:r>
        <w:t xml:space="preserve">their </w:t>
      </w:r>
      <w:r w:rsidRPr="00AE7D91">
        <w:t xml:space="preserve">finances </w:t>
      </w:r>
      <w:r>
        <w:t xml:space="preserve">would </w:t>
      </w:r>
      <w:r w:rsidRPr="00AE7D91">
        <w:t>be difficult to detect and address.</w:t>
      </w:r>
    </w:p>
    <w:p w14:paraId="54A1ADA2" w14:textId="77777777" w:rsidR="00C81455" w:rsidRPr="004E3BCC" w:rsidRDefault="00BF0238" w:rsidP="00C81455">
      <w:pPr>
        <w:pStyle w:val="Rparagraph"/>
        <w:rPr>
          <w:b/>
        </w:rPr>
      </w:pPr>
      <w:r w:rsidRPr="004E3BCC">
        <w:t xml:space="preserve">Policy and guidance documents are in place but have not been updated since they were issued in October 2015 and are not included in staff induction. This may contribute to the inconsistent application of policy in some areas. Individual Financial Profiles were in place for all service users </w:t>
      </w:r>
      <w:r w:rsidRPr="00B72B3B">
        <w:t xml:space="preserve">we tested </w:t>
      </w:r>
      <w:r w:rsidRPr="004E3BCC">
        <w:t>but some were incomplete or based on old information, indicating that they had not been reviewed as they should have been.</w:t>
      </w:r>
    </w:p>
    <w:p w14:paraId="598EFC50" w14:textId="77777777" w:rsidR="00C81455" w:rsidRPr="0053125F" w:rsidRDefault="00BF0238" w:rsidP="00C81455">
      <w:pPr>
        <w:pStyle w:val="Rparagraph"/>
        <w:rPr>
          <w:b/>
        </w:rPr>
      </w:pPr>
      <w:r w:rsidRPr="005C0F77">
        <w:t xml:space="preserve">Whilst there </w:t>
      </w:r>
      <w:r>
        <w:t>i</w:t>
      </w:r>
      <w:r w:rsidRPr="005C0F77">
        <w:t>s evidence that the team managers regularly review the personal</w:t>
      </w:r>
      <w:r>
        <w:t xml:space="preserve"> account and housekeeping books,</w:t>
      </w:r>
      <w:r w:rsidRPr="005C0F77">
        <w:t xml:space="preserve"> we </w:t>
      </w:r>
      <w:r>
        <w:t xml:space="preserve">found </w:t>
      </w:r>
      <w:r w:rsidRPr="005C0F77">
        <w:t xml:space="preserve">examples where the team manager </w:t>
      </w:r>
      <w:r>
        <w:t xml:space="preserve">had </w:t>
      </w:r>
      <w:r w:rsidRPr="005C0F77">
        <w:t>failed to identify instances of non-compliance with policy</w:t>
      </w:r>
      <w:r>
        <w:t>, and t</w:t>
      </w:r>
      <w:r w:rsidRPr="005C0F77">
        <w:t xml:space="preserve">here </w:t>
      </w:r>
      <w:r>
        <w:t>i</w:t>
      </w:r>
      <w:r w:rsidRPr="005C0F77">
        <w:t xml:space="preserve">s no evidence </w:t>
      </w:r>
      <w:r>
        <w:t xml:space="preserve">that managers conduct any further </w:t>
      </w:r>
      <w:r w:rsidRPr="005C0F77">
        <w:t>spot check</w:t>
      </w:r>
      <w:r>
        <w:t>s</w:t>
      </w:r>
      <w:r w:rsidRPr="005C0F77">
        <w:t xml:space="preserve">. </w:t>
      </w:r>
      <w:r>
        <w:t>In particular there is a high level of non-compliance with the requirement to highlight specific staff costs and for the area domiciliary manager to approve withdrawals of more than £500.</w:t>
      </w:r>
    </w:p>
    <w:p w14:paraId="5D726872" w14:textId="77777777" w:rsidR="0053125F" w:rsidRPr="004C5B9E" w:rsidRDefault="00BF0238" w:rsidP="00225771">
      <w:pPr>
        <w:pStyle w:val="Rsub-heading"/>
      </w:pPr>
      <w:r>
        <w:t>Shared lives recruitment</w:t>
      </w:r>
      <w:r w:rsidRPr="0053125F">
        <w:tab/>
      </w:r>
      <w:r w:rsidRPr="00225771">
        <w:rPr>
          <w:b w:val="0"/>
        </w:rPr>
        <w:t>(Moderate assurance: type 1+2)</w:t>
      </w:r>
    </w:p>
    <w:p w14:paraId="091DC006" w14:textId="77777777" w:rsidR="0053125F" w:rsidRPr="00063104" w:rsidRDefault="00BF0238" w:rsidP="0053125F">
      <w:pPr>
        <w:pStyle w:val="Rparagraph"/>
        <w:rPr>
          <w:b/>
        </w:rPr>
      </w:pPr>
      <w:r w:rsidRPr="00063104">
        <w:t>The Shared Lives Service recruits, supports and trains carers from across the local community to provide long term, short term, day support and emergency care for adults. Lancashire's service is the largest in the country and has been recognised as outstanding by the Care Quality Commission. Prospective care</w:t>
      </w:r>
      <w:r>
        <w:t>rs undergo a lengthy application,</w:t>
      </w:r>
      <w:r w:rsidRPr="00063104">
        <w:t xml:space="preserve"> training and assessment process and the recruitment process is effective and efficient, ensuring that newly appointed carers deliver good quality support, safely and consistently.</w:t>
      </w:r>
    </w:p>
    <w:p w14:paraId="555C5B27" w14:textId="77777777" w:rsidR="0053125F" w:rsidRDefault="00BF0238" w:rsidP="0053125F">
      <w:pPr>
        <w:pStyle w:val="Rparagraph"/>
        <w:rPr>
          <w:b/>
        </w:rPr>
      </w:pPr>
      <w:r>
        <w:t>However there is a lack of evidence that some</w:t>
      </w:r>
      <w:r w:rsidRPr="00214DDC">
        <w:t xml:space="preserve"> </w:t>
      </w:r>
      <w:r>
        <w:t xml:space="preserve">key steps have been taken including evidence for </w:t>
      </w:r>
      <w:r w:rsidRPr="0098236E">
        <w:t>background checks</w:t>
      </w:r>
      <w:r>
        <w:t>,</w:t>
      </w:r>
      <w:r w:rsidRPr="0098236E">
        <w:t xml:space="preserve"> </w:t>
      </w:r>
      <w:r>
        <w:t>carer contracts, placement agreements,</w:t>
      </w:r>
      <w:r w:rsidRPr="00063104">
        <w:t xml:space="preserve"> </w:t>
      </w:r>
      <w:r w:rsidRPr="0098236E">
        <w:t>induction</w:t>
      </w:r>
      <w:r>
        <w:t xml:space="preserve"> </w:t>
      </w:r>
      <w:r w:rsidRPr="0098236E">
        <w:t>visit</w:t>
      </w:r>
      <w:r>
        <w:t>s,</w:t>
      </w:r>
      <w:r w:rsidRPr="00063104">
        <w:t xml:space="preserve"> </w:t>
      </w:r>
      <w:r>
        <w:t xml:space="preserve">and home </w:t>
      </w:r>
      <w:r w:rsidRPr="0098236E">
        <w:t>fire safety check</w:t>
      </w:r>
      <w:r>
        <w:t>s</w:t>
      </w:r>
    </w:p>
    <w:p w14:paraId="5321D11E" w14:textId="77777777" w:rsidR="0053125F" w:rsidRPr="00C81455" w:rsidRDefault="00BF0238" w:rsidP="0053125F">
      <w:pPr>
        <w:pStyle w:val="Rparagraph"/>
        <w:rPr>
          <w:b/>
        </w:rPr>
      </w:pPr>
      <w:r w:rsidRPr="0098236E">
        <w:t>Carers are required to undertake mandatory training in several area</w:t>
      </w:r>
      <w:r>
        <w:t xml:space="preserve">s within 12 months of approval but, of ten </w:t>
      </w:r>
      <w:r w:rsidRPr="0098236E">
        <w:t>families recruited between January 2017</w:t>
      </w:r>
      <w:r>
        <w:t>,</w:t>
      </w:r>
      <w:r w:rsidRPr="0098236E">
        <w:t xml:space="preserve"> and April 2018 </w:t>
      </w:r>
      <w:r>
        <w:t xml:space="preserve">there was no record that all </w:t>
      </w:r>
      <w:r w:rsidRPr="0098236E">
        <w:t>training</w:t>
      </w:r>
      <w:r>
        <w:t xml:space="preserve"> had been completed by </w:t>
      </w:r>
      <w:r w:rsidRPr="0098236E">
        <w:t xml:space="preserve">seven, </w:t>
      </w:r>
      <w:r>
        <w:t xml:space="preserve">and </w:t>
      </w:r>
      <w:r w:rsidRPr="0098236E">
        <w:t xml:space="preserve">five </w:t>
      </w:r>
      <w:r>
        <w:t xml:space="preserve">of these </w:t>
      </w:r>
      <w:r w:rsidRPr="0098236E">
        <w:t>have been allocated long term placements</w:t>
      </w:r>
      <w:r>
        <w:t>.</w:t>
      </w:r>
    </w:p>
    <w:p w14:paraId="53603F98" w14:textId="77777777" w:rsidR="00C81455" w:rsidRDefault="00BF0238" w:rsidP="00225771">
      <w:pPr>
        <w:pStyle w:val="Rsub-headinghalf"/>
      </w:pPr>
      <w:r w:rsidRPr="00C81455">
        <w:t>Handling VIP enquiries within the Health, Equity and Partnerships service</w:t>
      </w:r>
    </w:p>
    <w:p w14:paraId="2E747FF0" w14:textId="77777777" w:rsidR="00C81455" w:rsidRPr="00404CFD" w:rsidRDefault="00BF0238" w:rsidP="00404CFD">
      <w:pPr>
        <w:pStyle w:val="Sub-heading2ndhalf"/>
      </w:pPr>
      <w:r w:rsidRPr="00404CFD">
        <w:tab/>
        <w:t>(Substantial assurance: type 1+2)</w:t>
      </w:r>
    </w:p>
    <w:p w14:paraId="465CEC3C" w14:textId="77777777" w:rsidR="00C81455" w:rsidRDefault="00BF0238" w:rsidP="00C81455">
      <w:pPr>
        <w:pStyle w:val="Rparagraph"/>
        <w:rPr>
          <w:b/>
        </w:rPr>
      </w:pPr>
      <w:r w:rsidRPr="00DD30D9">
        <w:t>Enquiries from councillors, MP's, MEP's and other prominent sources are designated as VIP enquiries and managed accordingly</w:t>
      </w:r>
      <w:r>
        <w:t>. Between January and June 2019</w:t>
      </w:r>
      <w:r w:rsidRPr="00DD30D9">
        <w:t xml:space="preserve"> 2,736 new enquiries were logged, of which 1,968 related to Highways and 250 to the Health, Equity and Partnerships service. The Senior Leadership Team Support </w:t>
      </w:r>
      <w:r>
        <w:t>team</w:t>
      </w:r>
      <w:r w:rsidRPr="00DD30D9">
        <w:t xml:space="preserve"> administers the system, monitors responses to </w:t>
      </w:r>
      <w:r w:rsidRPr="00DD30D9">
        <w:lastRenderedPageBreak/>
        <w:t>enquiries and produces reports for the Senior Leadership Team sho</w:t>
      </w:r>
      <w:r>
        <w:t>wing the time taken to respond.</w:t>
      </w:r>
    </w:p>
    <w:p w14:paraId="75DF8FA9" w14:textId="77777777" w:rsidR="00C81455" w:rsidRPr="0034234C" w:rsidRDefault="00BF0238" w:rsidP="00C81455">
      <w:pPr>
        <w:pStyle w:val="Rparagraph"/>
        <w:rPr>
          <w:b/>
        </w:rPr>
      </w:pPr>
      <w:r>
        <w:t xml:space="preserve">The VIP </w:t>
      </w:r>
      <w:r w:rsidRPr="0034234C">
        <w:t>communication system is adequately designed to manage and monitor enquiries received by the council</w:t>
      </w:r>
      <w:r>
        <w:t xml:space="preserve">, allocating </w:t>
      </w:r>
      <w:r w:rsidRPr="0034234C">
        <w:t xml:space="preserve">an officer to address each enquiry, </w:t>
      </w:r>
      <w:r>
        <w:t xml:space="preserve">recording </w:t>
      </w:r>
      <w:r w:rsidRPr="0034234C">
        <w:t xml:space="preserve">any action taken and </w:t>
      </w:r>
      <w:r>
        <w:t xml:space="preserve">scanning </w:t>
      </w:r>
      <w:r w:rsidRPr="0034234C">
        <w:t xml:space="preserve">relevant documents. The dates on which enquiries are received, allocated </w:t>
      </w:r>
      <w:r>
        <w:t xml:space="preserve">and responded to </w:t>
      </w:r>
      <w:r w:rsidRPr="0034234C">
        <w:t>can be logged to track progress. Reports can be produced to monitor outstanding enquiries and the time taken to re</w:t>
      </w:r>
      <w:r>
        <w:t>spond for review by management.</w:t>
      </w:r>
    </w:p>
    <w:p w14:paraId="1C974CBE" w14:textId="77777777" w:rsidR="00C81455" w:rsidRDefault="00BF0238" w:rsidP="00C81455">
      <w:pPr>
        <w:pStyle w:val="Rparagraph"/>
      </w:pPr>
      <w:r w:rsidRPr="00DD30D9">
        <w:t xml:space="preserve">At management's request we reviewed the operation of the VIP system specifically within the Health, Equity and Partnerships service where there was a backlog and more than 70% of enquiries </w:t>
      </w:r>
      <w:r>
        <w:t xml:space="preserve">between </w:t>
      </w:r>
      <w:r w:rsidRPr="00DD30D9">
        <w:t xml:space="preserve">January and June 2019 </w:t>
      </w:r>
      <w:r>
        <w:t xml:space="preserve">exceeded </w:t>
      </w:r>
      <w:r w:rsidRPr="00DD30D9">
        <w:t>the target response times of 10 days. However</w:t>
      </w:r>
      <w:r>
        <w:t xml:space="preserve"> by </w:t>
      </w:r>
      <w:r w:rsidRPr="00DD30D9">
        <w:t xml:space="preserve">July more than 90% of enquiries were being processed </w:t>
      </w:r>
      <w:r>
        <w:t xml:space="preserve">on time </w:t>
      </w:r>
      <w:r w:rsidRPr="00DD30D9">
        <w:t>and we were informed that the service was catching up with the backlog.</w:t>
      </w:r>
      <w:r>
        <w:t xml:space="preserve"> We identified no further changes that could be made to reduce the resources required within the service to respond to enquiries.</w:t>
      </w:r>
    </w:p>
    <w:p w14:paraId="7367E2B9" w14:textId="77777777" w:rsidR="00404CF3" w:rsidRDefault="00BF0238" w:rsidP="00225771">
      <w:pPr>
        <w:pStyle w:val="Rsub-heading"/>
      </w:pPr>
      <w:r>
        <w:t>Safe Trader scheme</w:t>
      </w:r>
      <w:r>
        <w:tab/>
      </w:r>
      <w:r w:rsidRPr="00225771">
        <w:rPr>
          <w:b w:val="0"/>
        </w:rPr>
        <w:t>(Moderate assurance: type 1+2)</w:t>
      </w:r>
    </w:p>
    <w:p w14:paraId="7371BAE8" w14:textId="77777777" w:rsidR="00C6522E" w:rsidRDefault="00BF0238" w:rsidP="00C6522E">
      <w:pPr>
        <w:pStyle w:val="Rparagraph"/>
        <w:rPr>
          <w:b/>
        </w:rPr>
      </w:pPr>
      <w:r>
        <w:t xml:space="preserve">The Safe Trader Scheme accredits traders such as electricians, plumbers and builders who commit to providing good customer service and adhere to regulations. It is managed by the Trading Standards service which checks traders before they become accredited and then undertakes rolling checks.  </w:t>
      </w:r>
    </w:p>
    <w:p w14:paraId="6D1C3F1A" w14:textId="77777777" w:rsidR="00C6522E" w:rsidRPr="009B5AE7" w:rsidRDefault="00BF0238" w:rsidP="00C6522E">
      <w:pPr>
        <w:pStyle w:val="Rparagraph"/>
        <w:rPr>
          <w:b/>
        </w:rPr>
      </w:pPr>
      <w:r w:rsidRPr="009B5AE7">
        <w:t>The terms and conditions of the scheme and the extent of assurance provided by the council are clearly communicated to traders and consumers. Appropriate checks are undertaken on traders before they are accredited both by examining relevant documentation and site visits. We found that controls were operating effectively except in one case where a check was not properly undertaken and a trader was registered before confirming their mandatory external accreditation. An additional control will also be implemented to ensure that all accredited traders are appropriately invoiced.</w:t>
      </w:r>
    </w:p>
    <w:p w14:paraId="6FADCD24" w14:textId="77777777" w:rsidR="005245D1" w:rsidRPr="00982FDB" w:rsidRDefault="00BF0238" w:rsidP="005245D1">
      <w:pPr>
        <w:pStyle w:val="Rheading"/>
      </w:pPr>
      <w:r>
        <w:t xml:space="preserve">Audit work completed on service delivery controls: </w:t>
      </w:r>
      <w:r w:rsidRPr="004306E4">
        <w:t>Education &amp; Children's Services</w:t>
      </w:r>
    </w:p>
    <w:p w14:paraId="79A3D24A" w14:textId="77777777" w:rsidR="005245D1" w:rsidRPr="00225771" w:rsidRDefault="00BF0238" w:rsidP="00225771">
      <w:pPr>
        <w:pStyle w:val="Rsub-heading"/>
      </w:pPr>
      <w:r w:rsidRPr="00225771">
        <w:t>Children's direct payments</w:t>
      </w:r>
      <w:r w:rsidRPr="00225771">
        <w:tab/>
      </w:r>
      <w:r w:rsidRPr="00225771">
        <w:rPr>
          <w:b w:val="0"/>
        </w:rPr>
        <w:t>(Limited assurance: type 2)</w:t>
      </w:r>
    </w:p>
    <w:p w14:paraId="1CC75699" w14:textId="77777777" w:rsidR="00ED02B9" w:rsidRPr="00F37147" w:rsidRDefault="00BF0238" w:rsidP="00ED02B9">
      <w:pPr>
        <w:pStyle w:val="Rparagraph"/>
        <w:rPr>
          <w:b/>
        </w:rPr>
      </w:pPr>
      <w:r w:rsidRPr="00F37147">
        <w:t xml:space="preserve">Personal budgets can be requested by the parents and carers of children and young people who have been assessed as needing an education, health and care plan, to fund services to support the outcomes for them. </w:t>
      </w:r>
      <w:r>
        <w:t xml:space="preserve">This </w:t>
      </w:r>
      <w:r w:rsidRPr="00F37147">
        <w:t>can be administered thr</w:t>
      </w:r>
      <w:r>
        <w:t xml:space="preserve">ough direct payments and </w:t>
      </w:r>
      <w:r w:rsidRPr="00B73DCE">
        <w:t xml:space="preserve">approximately 400 young people receive direct payments </w:t>
      </w:r>
      <w:r>
        <w:t>from the council</w:t>
      </w:r>
      <w:r w:rsidRPr="00B73DCE">
        <w:t>.</w:t>
      </w:r>
    </w:p>
    <w:p w14:paraId="2651ECD9" w14:textId="77777777" w:rsidR="00ED02B9" w:rsidRDefault="00BF0238" w:rsidP="00ED02B9">
      <w:pPr>
        <w:pStyle w:val="Rparagraph"/>
        <w:rPr>
          <w:b/>
        </w:rPr>
      </w:pPr>
      <w:r w:rsidRPr="006337B5">
        <w:t>Progress is being made to address some of the issues raised during the last audit, which we reported in March 2018 (when we also gave limited assurance). Mandatory training has been introduced, the Inclusion Service has sound controls in place to produce, approve and review care plans, and there is improved recording of assessments, retention of financial agreements and evidence of manager oversight. However not all of the actions agreed have yet been fully implemented and we identified some further issues in addition</w:t>
      </w:r>
      <w:r>
        <w:t>.</w:t>
      </w:r>
    </w:p>
    <w:p w14:paraId="2FF7FC54" w14:textId="77777777" w:rsidR="00ED02B9" w:rsidRDefault="00BF0238" w:rsidP="00ED02B9">
      <w:pPr>
        <w:pStyle w:val="Rparagraph"/>
        <w:rPr>
          <w:b/>
        </w:rPr>
      </w:pPr>
      <w:r w:rsidRPr="006337B5">
        <w:t xml:space="preserve">The guidance for officers is being updated and improved in conjunction with Adult Services but it has still not been completed and published. The tool to assess service users' needs and budgets is not consistently used, financial </w:t>
      </w:r>
      <w:r w:rsidRPr="006337B5">
        <w:lastRenderedPageBreak/>
        <w:t>agreements are not always completed prior to setting up or adjusting a package of care, and not all service users are formally notified of their care package. Further, adjustments made to budgets are not always correctly implemented resulting in several overpayments.</w:t>
      </w:r>
    </w:p>
    <w:p w14:paraId="5797DE88" w14:textId="77777777" w:rsidR="00ED02B9" w:rsidRPr="001E6ABC" w:rsidRDefault="00BF0238" w:rsidP="00ED02B9">
      <w:pPr>
        <w:pStyle w:val="Rparagraph"/>
        <w:rPr>
          <w:b/>
        </w:rPr>
      </w:pPr>
      <w:r>
        <w:t xml:space="preserve">It is also clear that there is a lack of adequate guidance regarding the application of direct payments within operational practice in </w:t>
      </w:r>
      <w:r w:rsidRPr="006337B5">
        <w:t>Children's Social Care</w:t>
      </w:r>
      <w:r>
        <w:t xml:space="preserve">. Social workers are therefore applying their best judgement but there are inconsistencies in </w:t>
      </w:r>
      <w:r w:rsidRPr="004B134C">
        <w:t xml:space="preserve">practice across the Education and Children's Services </w:t>
      </w:r>
      <w:r>
        <w:t>D</w:t>
      </w:r>
      <w:r w:rsidRPr="004B134C">
        <w:t>irectorate</w:t>
      </w:r>
      <w:r>
        <w:t>.</w:t>
      </w:r>
    </w:p>
    <w:p w14:paraId="7840F433" w14:textId="77777777" w:rsidR="001E6ABC" w:rsidRDefault="00BF0238" w:rsidP="00404CFD">
      <w:pPr>
        <w:pStyle w:val="Rsub-headinghalf"/>
      </w:pPr>
      <w:r w:rsidRPr="001E6ABC">
        <w:t>Children's Services' in-service audit framework</w:t>
      </w:r>
    </w:p>
    <w:p w14:paraId="6EE53ED6" w14:textId="77777777" w:rsidR="001E6ABC" w:rsidRPr="001E6ABC" w:rsidRDefault="00BF0238" w:rsidP="00225771">
      <w:pPr>
        <w:pStyle w:val="Sub-heading2ndhalf"/>
        <w:rPr>
          <w:b/>
        </w:rPr>
      </w:pPr>
      <w:r>
        <w:tab/>
      </w:r>
      <w:r w:rsidRPr="001E6ABC">
        <w:t>(Moderate assurance: type 2)</w:t>
      </w:r>
    </w:p>
    <w:p w14:paraId="6BA890C0" w14:textId="77777777" w:rsidR="001E6ABC" w:rsidRPr="00DB4875" w:rsidRDefault="00BF0238" w:rsidP="001E6ABC">
      <w:pPr>
        <w:pStyle w:val="Rparagraph"/>
      </w:pPr>
      <w:r>
        <w:t xml:space="preserve">The </w:t>
      </w:r>
      <w:r w:rsidRPr="00DB4875">
        <w:t>Children's S</w:t>
      </w:r>
      <w:r>
        <w:t xml:space="preserve">ocial Care directorate includes an </w:t>
      </w:r>
      <w:r w:rsidRPr="00DB4875">
        <w:t>in-</w:t>
      </w:r>
      <w:r>
        <w:t>service</w:t>
      </w:r>
      <w:r w:rsidRPr="00DB4875">
        <w:t xml:space="preserve"> audit </w:t>
      </w:r>
      <w:r>
        <w:t>team</w:t>
      </w:r>
      <w:r w:rsidRPr="00DB4875">
        <w:t xml:space="preserve"> </w:t>
      </w:r>
      <w:r>
        <w:t xml:space="preserve">and a </w:t>
      </w:r>
      <w:r w:rsidRPr="00DB4875">
        <w:t>range of audit</w:t>
      </w:r>
      <w:r>
        <w:t xml:space="preserve"> activity is undertaken by the in-service auditors</w:t>
      </w:r>
      <w:r w:rsidRPr="00DB4875">
        <w:t xml:space="preserve">, senior managers and </w:t>
      </w:r>
      <w:r>
        <w:t>independent reviewing officers</w:t>
      </w:r>
      <w:r w:rsidRPr="00DB4875">
        <w:t>.</w:t>
      </w:r>
      <w:r>
        <w:t xml:space="preserve"> A </w:t>
      </w:r>
      <w:r w:rsidRPr="00DB4875">
        <w:t xml:space="preserve">quality assurance framework </w:t>
      </w:r>
      <w:r>
        <w:t xml:space="preserve">sets out </w:t>
      </w:r>
      <w:r w:rsidRPr="00DB4875">
        <w:t xml:space="preserve">a systematic approach </w:t>
      </w:r>
      <w:r>
        <w:t xml:space="preserve">to </w:t>
      </w:r>
      <w:r w:rsidRPr="00DB4875">
        <w:t xml:space="preserve">quality assurance </w:t>
      </w:r>
      <w:r>
        <w:t xml:space="preserve">through </w:t>
      </w:r>
      <w:r w:rsidRPr="00DB4875">
        <w:t>a</w:t>
      </w:r>
      <w:r>
        <w:t>ssessing</w:t>
      </w:r>
      <w:r w:rsidRPr="00DB4875">
        <w:t xml:space="preserve"> practice</w:t>
      </w:r>
      <w:r>
        <w:t xml:space="preserve"> and identifying any improvement needs</w:t>
      </w:r>
      <w:r w:rsidRPr="00DB4875">
        <w:t>.</w:t>
      </w:r>
    </w:p>
    <w:p w14:paraId="3CC5FD14" w14:textId="77777777" w:rsidR="001E6ABC" w:rsidRDefault="00BF0238" w:rsidP="001E6ABC">
      <w:pPr>
        <w:pStyle w:val="Rparagraph"/>
      </w:pPr>
      <w:r>
        <w:t xml:space="preserve">In June 2018 </w:t>
      </w:r>
      <w:r w:rsidRPr="00DB4875">
        <w:t xml:space="preserve">Ofsted acknowledged that improvements in </w:t>
      </w:r>
      <w:r>
        <w:t>c</w:t>
      </w:r>
      <w:r w:rsidRPr="00DB4875">
        <w:t xml:space="preserve">hildren's </w:t>
      </w:r>
      <w:r>
        <w:t>s</w:t>
      </w:r>
      <w:r w:rsidRPr="00DB4875">
        <w:t xml:space="preserve">ervices </w:t>
      </w:r>
      <w:r>
        <w:t>a</w:t>
      </w:r>
      <w:r w:rsidRPr="00DB4875">
        <w:t>re supported by an increased focus on quality assurance and learning</w:t>
      </w:r>
      <w:r>
        <w:t xml:space="preserve"> </w:t>
      </w:r>
      <w:r w:rsidRPr="00DB4875">
        <w:t xml:space="preserve">across the workforce. </w:t>
      </w:r>
      <w:r>
        <w:t>It recognised</w:t>
      </w:r>
      <w:r w:rsidRPr="00DB4875">
        <w:t xml:space="preserve"> that the quality assurance framework </w:t>
      </w:r>
      <w:r>
        <w:t>h</w:t>
      </w:r>
      <w:r w:rsidRPr="00DB4875">
        <w:t xml:space="preserve">as </w:t>
      </w:r>
      <w:r>
        <w:t xml:space="preserve">become </w:t>
      </w:r>
      <w:r w:rsidRPr="00DB4875">
        <w:t xml:space="preserve">more effective and reliable and there </w:t>
      </w:r>
      <w:r>
        <w:t>i</w:t>
      </w:r>
      <w:r w:rsidRPr="00DB4875">
        <w:t>s a clearer focus on improving outcomes for children and developing 'purposeful practice'.</w:t>
      </w:r>
    </w:p>
    <w:p w14:paraId="128AAE54" w14:textId="77777777" w:rsidR="001E6ABC" w:rsidRPr="00684B96" w:rsidRDefault="00BF0238" w:rsidP="001E6ABC">
      <w:pPr>
        <w:pStyle w:val="Rparagraph"/>
        <w:rPr>
          <w:szCs w:val="26"/>
        </w:rPr>
      </w:pPr>
      <w:r w:rsidRPr="00211367">
        <w:t>Management information is produced and distributed to senior managers</w:t>
      </w:r>
      <w:r>
        <w:t>, g</w:t>
      </w:r>
      <w:r w:rsidRPr="00211367">
        <w:t xml:space="preserve">ood and </w:t>
      </w:r>
      <w:r>
        <w:t xml:space="preserve">poor </w:t>
      </w:r>
      <w:r w:rsidRPr="00211367">
        <w:t xml:space="preserve">practice </w:t>
      </w:r>
      <w:r>
        <w:t xml:space="preserve">is </w:t>
      </w:r>
      <w:r w:rsidRPr="00211367">
        <w:t>identified</w:t>
      </w:r>
      <w:r>
        <w:t>,</w:t>
      </w:r>
      <w:r w:rsidRPr="00211367">
        <w:t xml:space="preserve"> and remedial action is carried out in different ways, including training by advanced practitioners </w:t>
      </w:r>
      <w:r>
        <w:t>and weekly briefs produced by the principal social w</w:t>
      </w:r>
      <w:r w:rsidRPr="00211367">
        <w:t>orker</w:t>
      </w:r>
      <w:r w:rsidRPr="00684B96">
        <w:rPr>
          <w:szCs w:val="26"/>
        </w:rPr>
        <w:t xml:space="preserve">. </w:t>
      </w:r>
      <w:r>
        <w:t xml:space="preserve">However due to </w:t>
      </w:r>
      <w:proofErr w:type="gramStart"/>
      <w:r>
        <w:t>l</w:t>
      </w:r>
      <w:r w:rsidRPr="00211367">
        <w:t>imited</w:t>
      </w:r>
      <w:proofErr w:type="gramEnd"/>
      <w:r w:rsidRPr="00211367">
        <w:t xml:space="preserve"> resources and </w:t>
      </w:r>
      <w:r>
        <w:t xml:space="preserve">the need to support </w:t>
      </w:r>
      <w:r w:rsidRPr="00211367">
        <w:t>additional external reviews</w:t>
      </w:r>
      <w:r>
        <w:t>,</w:t>
      </w:r>
      <w:r w:rsidRPr="00211367">
        <w:t xml:space="preserve"> </w:t>
      </w:r>
      <w:r>
        <w:t>not all the assurance processes</w:t>
      </w:r>
      <w:r w:rsidRPr="00211367">
        <w:t xml:space="preserve"> </w:t>
      </w:r>
      <w:r>
        <w:t>have operated effectively</w:t>
      </w:r>
      <w:r w:rsidRPr="00211367">
        <w:t xml:space="preserve">. </w:t>
      </w:r>
      <w:r>
        <w:t xml:space="preserve">Four of six audits in the </w:t>
      </w:r>
      <w:r w:rsidRPr="00211367">
        <w:t>thematic audit plan agreed in October 2018</w:t>
      </w:r>
      <w:r>
        <w:t xml:space="preserve"> have been delivered, as well as a fifth unplanned audit, but they were not all delivered within planned timescales and action has not been taken to complete the </w:t>
      </w:r>
      <w:r w:rsidRPr="00211367">
        <w:t xml:space="preserve">outstanding audits </w:t>
      </w:r>
      <w:r>
        <w:t xml:space="preserve">or follow up implementation of </w:t>
      </w:r>
      <w:r w:rsidRPr="00211367">
        <w:t>agreed actions</w:t>
      </w:r>
      <w:r>
        <w:t>. P</w:t>
      </w:r>
      <w:r w:rsidRPr="00211367">
        <w:t xml:space="preserve">aperwork </w:t>
      </w:r>
      <w:r>
        <w:t xml:space="preserve">is </w:t>
      </w:r>
      <w:r w:rsidRPr="00211367">
        <w:t xml:space="preserve">not always fully completed </w:t>
      </w:r>
      <w:r>
        <w:t xml:space="preserve">and </w:t>
      </w:r>
      <w:r w:rsidRPr="00211367">
        <w:t xml:space="preserve">reflective learning </w:t>
      </w:r>
      <w:r>
        <w:t>has not always taken place.</w:t>
      </w:r>
    </w:p>
    <w:p w14:paraId="6D4E799F" w14:textId="77777777" w:rsidR="001E6ABC" w:rsidRPr="001E6ABC" w:rsidRDefault="00BF0238" w:rsidP="001E6ABC">
      <w:pPr>
        <w:pStyle w:val="Rparagraph"/>
        <w:rPr>
          <w:b/>
        </w:rPr>
      </w:pPr>
      <w:r>
        <w:t xml:space="preserve">A </w:t>
      </w:r>
      <w:r w:rsidRPr="00684B96">
        <w:t xml:space="preserve">review </w:t>
      </w:r>
      <w:r>
        <w:t xml:space="preserve">of </w:t>
      </w:r>
      <w:r w:rsidRPr="00684B96">
        <w:t>the audit framework</w:t>
      </w:r>
      <w:r>
        <w:t xml:space="preserve"> by the head of service will </w:t>
      </w:r>
      <w:r w:rsidRPr="00684B96">
        <w:t>address some of the</w:t>
      </w:r>
      <w:r>
        <w:t>se</w:t>
      </w:r>
      <w:r w:rsidRPr="00684B96">
        <w:t xml:space="preserve"> issues.</w:t>
      </w:r>
    </w:p>
    <w:p w14:paraId="769CAFEF" w14:textId="77777777" w:rsidR="00BA121D" w:rsidRPr="00064059" w:rsidRDefault="00BF0238" w:rsidP="00225771">
      <w:pPr>
        <w:pStyle w:val="Rsub-heading"/>
      </w:pPr>
      <w:r>
        <w:t>Schools' procurement processes</w:t>
      </w:r>
      <w:r>
        <w:tab/>
      </w:r>
      <w:r w:rsidRPr="00225771">
        <w:rPr>
          <w:b w:val="0"/>
        </w:rPr>
        <w:t>(Moderate assurance: type 1+2)</w:t>
      </w:r>
    </w:p>
    <w:p w14:paraId="741668AB" w14:textId="77777777" w:rsidR="00BA121D" w:rsidRPr="005850F5" w:rsidRDefault="00BF0238" w:rsidP="00BA121D">
      <w:pPr>
        <w:pStyle w:val="Rparagraph"/>
        <w:rPr>
          <w:b/>
        </w:rPr>
      </w:pPr>
      <w:r w:rsidRPr="005850F5">
        <w:t xml:space="preserve">Procurement activity in schools is governed by the council's Scheme for Financing Schools in Lancashire. We visited a sample of 15 schools across the county: nine primary, five secondary and one special school. </w:t>
      </w:r>
    </w:p>
    <w:p w14:paraId="1ABA6A46" w14:textId="77777777" w:rsidR="00BA121D" w:rsidRDefault="00BF0238" w:rsidP="00BA121D">
      <w:pPr>
        <w:pStyle w:val="Rparagraph"/>
        <w:rPr>
          <w:b/>
        </w:rPr>
      </w:pPr>
      <w:r w:rsidRPr="009A7EE8">
        <w:t xml:space="preserve">Schools </w:t>
      </w:r>
      <w:r>
        <w:t xml:space="preserve">are required to </w:t>
      </w:r>
      <w:r w:rsidRPr="009A7EE8">
        <w:t xml:space="preserve">set out procurement policies and procedures in their financial regulations, </w:t>
      </w:r>
      <w:r>
        <w:t xml:space="preserve">and </w:t>
      </w:r>
      <w:r w:rsidRPr="009A7EE8">
        <w:t xml:space="preserve">many based </w:t>
      </w:r>
      <w:r>
        <w:t xml:space="preserve">them </w:t>
      </w:r>
      <w:r w:rsidRPr="009A7EE8">
        <w:t>on the council's model regulations</w:t>
      </w:r>
      <w:r>
        <w:t xml:space="preserve">, but not all </w:t>
      </w:r>
      <w:r w:rsidRPr="009A7EE8">
        <w:t>schools</w:t>
      </w:r>
      <w:r>
        <w:t xml:space="preserve"> </w:t>
      </w:r>
      <w:r w:rsidRPr="009A7EE8">
        <w:t>maintain more detailed process notes, relying on the knowledge of key staff</w:t>
      </w:r>
      <w:r>
        <w:t>.</w:t>
      </w:r>
    </w:p>
    <w:p w14:paraId="7C8BC689" w14:textId="77777777" w:rsidR="00BA121D" w:rsidRDefault="00BF0238" w:rsidP="00BA121D">
      <w:pPr>
        <w:pStyle w:val="Rparagraph"/>
        <w:rPr>
          <w:b/>
        </w:rPr>
      </w:pPr>
      <w:r w:rsidRPr="009A7EE8">
        <w:t>Registers of interest support transparent decision making and are completed annually by governors, but not by all staff with a significant involvement in purchasing.</w:t>
      </w:r>
    </w:p>
    <w:p w14:paraId="194C5E13" w14:textId="77777777" w:rsidR="00BA121D" w:rsidRPr="009A7EE8" w:rsidRDefault="00BF0238" w:rsidP="00BA121D">
      <w:pPr>
        <w:pStyle w:val="Rparagraph"/>
        <w:rPr>
          <w:b/>
        </w:rPr>
      </w:pPr>
      <w:r w:rsidRPr="009A7EE8">
        <w:t xml:space="preserve">Procurement is carried out based on the </w:t>
      </w:r>
      <w:r>
        <w:t xml:space="preserve">expected </w:t>
      </w:r>
      <w:r w:rsidRPr="009A7EE8">
        <w:t xml:space="preserve">value </w:t>
      </w:r>
      <w:r>
        <w:t xml:space="preserve">of the goods or services </w:t>
      </w:r>
      <w:r w:rsidRPr="009A7EE8">
        <w:t>and in most schools comparable quotes and appropriate approval</w:t>
      </w:r>
      <w:r>
        <w:t>s</w:t>
      </w:r>
      <w:r w:rsidRPr="009A7EE8">
        <w:t xml:space="preserve"> </w:t>
      </w:r>
      <w:r>
        <w:t xml:space="preserve">are </w:t>
      </w:r>
      <w:r w:rsidRPr="009A7EE8">
        <w:lastRenderedPageBreak/>
        <w:t xml:space="preserve">obtained, including from governing bodies. However, half the schools </w:t>
      </w:r>
      <w:r>
        <w:t xml:space="preserve">we </w:t>
      </w:r>
      <w:r w:rsidRPr="009A7EE8">
        <w:t xml:space="preserve">tested did not consistently obtain three quotes when required </w:t>
      </w:r>
      <w:r>
        <w:t xml:space="preserve">to, </w:t>
      </w:r>
      <w:r w:rsidRPr="009A7EE8">
        <w:t xml:space="preserve">and did not seek </w:t>
      </w:r>
      <w:r>
        <w:t xml:space="preserve">the approval of their </w:t>
      </w:r>
      <w:r w:rsidRPr="009A7EE8">
        <w:t xml:space="preserve">governing body when selecting a supplier who had not submitted the lowest quote. One school did not obtain </w:t>
      </w:r>
      <w:r>
        <w:t>the approval of its go</w:t>
      </w:r>
      <w:r w:rsidRPr="009A7EE8">
        <w:t xml:space="preserve">verning </w:t>
      </w:r>
      <w:r>
        <w:t>b</w:t>
      </w:r>
      <w:r w:rsidRPr="009A7EE8">
        <w:t xml:space="preserve">ody </w:t>
      </w:r>
      <w:r>
        <w:t>for building works of approximately £150,000 in value.</w:t>
      </w:r>
    </w:p>
    <w:p w14:paraId="21C1AC63" w14:textId="77777777" w:rsidR="00BA121D" w:rsidRPr="00550D47" w:rsidRDefault="00BF0238" w:rsidP="00BA121D">
      <w:pPr>
        <w:pStyle w:val="Rparagraph"/>
      </w:pPr>
      <w:r w:rsidRPr="009A7EE8">
        <w:t xml:space="preserve">We have </w:t>
      </w:r>
      <w:r>
        <w:t xml:space="preserve">provided feedback </w:t>
      </w:r>
      <w:r w:rsidRPr="009A7EE8">
        <w:t>to individual schools and produced a best practice guide for publication on the Schools' Portal</w:t>
      </w:r>
      <w:r>
        <w:t>.</w:t>
      </w:r>
    </w:p>
    <w:p w14:paraId="1DFF0F42" w14:textId="77777777" w:rsidR="00BA121D" w:rsidRDefault="00BF0238" w:rsidP="00BA121D">
      <w:pPr>
        <w:pStyle w:val="Rheading"/>
      </w:pPr>
      <w:r>
        <w:t>Work completed on service support controls</w:t>
      </w:r>
    </w:p>
    <w:p w14:paraId="5CF920C8" w14:textId="77777777" w:rsidR="00BA121D" w:rsidRDefault="00BF0238" w:rsidP="00404CFD">
      <w:pPr>
        <w:pStyle w:val="Rsub-headinghalf"/>
      </w:pPr>
      <w:r w:rsidRPr="00BA121D">
        <w:t>Management and monitoring of system changes</w:t>
      </w:r>
    </w:p>
    <w:p w14:paraId="5C6B6F46" w14:textId="77777777" w:rsidR="00BA121D" w:rsidRPr="00BA121D" w:rsidRDefault="00BF0238" w:rsidP="00225771">
      <w:pPr>
        <w:pStyle w:val="Sub-heading2ndhalf"/>
      </w:pPr>
      <w:r w:rsidRPr="00BA121D">
        <w:tab/>
        <w:t>(Substantial assurance: type 1)</w:t>
      </w:r>
    </w:p>
    <w:p w14:paraId="2098A95F" w14:textId="77777777" w:rsidR="00C97019" w:rsidRPr="00F70984" w:rsidRDefault="00BF0238" w:rsidP="00C97019">
      <w:pPr>
        <w:pStyle w:val="Rparagraph"/>
        <w:rPr>
          <w:b/>
        </w:rPr>
      </w:pPr>
      <w:r w:rsidRPr="00F70984">
        <w:t xml:space="preserve">The council has set out rolling three-year plans to develop 20 of its </w:t>
      </w:r>
      <w:r>
        <w:t>core</w:t>
      </w:r>
      <w:r w:rsidRPr="00F70984">
        <w:t xml:space="preserve"> IT systems, which enables the Core Systems </w:t>
      </w:r>
      <w:r>
        <w:t>Services</w:t>
      </w:r>
      <w:r w:rsidRPr="00F70984">
        <w:t xml:space="preserve"> and BTLS to act strategically when making technology investment decisions and managing projects. It also facilitates planning to enable better utilisation of resources needed to support projects. System changes are prioritised by Portfolio Review Boards</w:t>
      </w:r>
      <w:r>
        <w:t xml:space="preserve"> and </w:t>
      </w:r>
      <w:r w:rsidRPr="00F70984">
        <w:t xml:space="preserve">attended by managers from the services involved, </w:t>
      </w:r>
      <w:r>
        <w:t>s</w:t>
      </w:r>
      <w:r w:rsidRPr="00F70984">
        <w:t xml:space="preserve">trategic </w:t>
      </w:r>
      <w:r>
        <w:t>s</w:t>
      </w:r>
      <w:r w:rsidRPr="00F70984">
        <w:t xml:space="preserve">ystems </w:t>
      </w:r>
      <w:r>
        <w:t>s</w:t>
      </w:r>
      <w:r w:rsidRPr="00F70984">
        <w:t xml:space="preserve">pecialists from the Core Systems </w:t>
      </w:r>
      <w:r>
        <w:t>Service,</w:t>
      </w:r>
      <w:r w:rsidRPr="00F70984">
        <w:t xml:space="preserve"> and BTLS. </w:t>
      </w:r>
    </w:p>
    <w:p w14:paraId="1BA66C4B" w14:textId="77777777" w:rsidR="00C97019" w:rsidRPr="001D6EED" w:rsidRDefault="00BF0238" w:rsidP="00C97019">
      <w:pPr>
        <w:pStyle w:val="Rparagraph"/>
        <w:rPr>
          <w:b/>
        </w:rPr>
      </w:pPr>
      <w:r w:rsidRPr="00DD3985">
        <w:t>The Portfolio Review Boards request changes to core systems and BTLS produce a 'Request for Proposal' document which describes the change and ensures changes</w:t>
      </w:r>
      <w:r>
        <w:t>, and the costs,</w:t>
      </w:r>
      <w:r w:rsidRPr="00DD3985">
        <w:t xml:space="preserve"> are clearly communicated and understood. Integration testing is undertaken by BTLS to ensure any interfaces are working correctly, and user acceptance testing ensures that changes are properly configured. </w:t>
      </w:r>
      <w:r>
        <w:t>T</w:t>
      </w:r>
      <w:r w:rsidRPr="00F70984">
        <w:t xml:space="preserve">he Core Systems </w:t>
      </w:r>
      <w:r>
        <w:t>Service</w:t>
      </w:r>
      <w:r w:rsidRPr="00F70984">
        <w:t xml:space="preserve"> satisfie</w:t>
      </w:r>
      <w:r>
        <w:t xml:space="preserve">s itself </w:t>
      </w:r>
      <w:r w:rsidRPr="00F70984">
        <w:t xml:space="preserve">about the functionality of the configuration in the test system </w:t>
      </w:r>
      <w:r>
        <w:t xml:space="preserve">before it </w:t>
      </w:r>
      <w:r w:rsidRPr="00F70984">
        <w:t>approve</w:t>
      </w:r>
      <w:r>
        <w:t>s</w:t>
      </w:r>
      <w:r w:rsidRPr="00F70984">
        <w:t xml:space="preserve"> the change to be implemented in the live version</w:t>
      </w:r>
      <w:r>
        <w:t>.</w:t>
      </w:r>
    </w:p>
    <w:p w14:paraId="5A95375C" w14:textId="77777777" w:rsidR="001D6EED" w:rsidRDefault="00BF0238" w:rsidP="001D6EED">
      <w:pPr>
        <w:pStyle w:val="Rsub-heading"/>
      </w:pPr>
      <w:r>
        <w:t>Highways authority funding</w:t>
      </w:r>
      <w:r w:rsidRPr="001D6EED">
        <w:rPr>
          <w:b w:val="0"/>
        </w:rPr>
        <w:tab/>
        <w:t>(Moderate assurance: type 1+2)</w:t>
      </w:r>
    </w:p>
    <w:p w14:paraId="2979B484" w14:textId="77777777" w:rsidR="001D6EED" w:rsidRDefault="00BF0238" w:rsidP="001D6EED">
      <w:pPr>
        <w:pStyle w:val="Rparagraph"/>
        <w:rPr>
          <w:b/>
        </w:rPr>
      </w:pPr>
      <w:r>
        <w:t>The Department for Transport has allocated capital funding for local authorities that can demonstrate, by completing a self-assessment, that they are delivering value for money in local highways maintenance. Each authority is required to score itself against 22 questions and place itself into one of three bands which determine how much funding they are allocated. It is the section 151 officer's responsibility to ensure they are satisfied that the evidence supports the funds their authority is claiming.</w:t>
      </w:r>
    </w:p>
    <w:p w14:paraId="3D0EFB9A" w14:textId="77777777" w:rsidR="001D6EED" w:rsidRPr="001D6EED" w:rsidRDefault="00BF0238" w:rsidP="001D6EED">
      <w:pPr>
        <w:pStyle w:val="Rparagraph"/>
        <w:rPr>
          <w:b/>
        </w:rPr>
      </w:pPr>
      <w:r w:rsidRPr="00397D89">
        <w:t>We examined the nine self-assessment questions addressed by various managers across the council</w:t>
      </w:r>
      <w:r>
        <w:t>; t</w:t>
      </w:r>
      <w:r w:rsidRPr="00397D89">
        <w:t xml:space="preserve">he other 13 </w:t>
      </w:r>
      <w:r>
        <w:t xml:space="preserve">questions </w:t>
      </w:r>
      <w:r w:rsidRPr="00397D89">
        <w:t>are mainly addressed by the highway asset manager. On the basis of our work and his we concluded that it is likely that the council has selected an appropriate funding band. The evidence support</w:t>
      </w:r>
      <w:r>
        <w:t>ing</w:t>
      </w:r>
      <w:r w:rsidRPr="00397D89">
        <w:t xml:space="preserve"> the self-assessment in the areas we reviewed was not </w:t>
      </w:r>
      <w:r>
        <w:t>always</w:t>
      </w:r>
      <w:r w:rsidRPr="00397D89">
        <w:t xml:space="preserve"> relevant and up-to-date, and </w:t>
      </w:r>
      <w:r>
        <w:t>some</w:t>
      </w:r>
      <w:r w:rsidRPr="00397D89">
        <w:t xml:space="preserve"> lack of </w:t>
      </w:r>
      <w:r>
        <w:t>effective</w:t>
      </w:r>
      <w:r w:rsidRPr="00397D89">
        <w:t xml:space="preserve"> cross referencing to source documents coupled with a lack of explanatory </w:t>
      </w:r>
      <w:r w:rsidRPr="00C94BAC">
        <w:t>notes</w:t>
      </w:r>
      <w:r>
        <w:t xml:space="preserve"> means</w:t>
      </w:r>
      <w:r w:rsidRPr="00C94BAC">
        <w:t xml:space="preserve"> that in some cases it </w:t>
      </w:r>
      <w:r>
        <w:t>i</w:t>
      </w:r>
      <w:r w:rsidRPr="00C94BAC">
        <w:t>s unclear how the evidence demonstrate</w:t>
      </w:r>
      <w:r>
        <w:t>s</w:t>
      </w:r>
      <w:r w:rsidRPr="00C94BAC">
        <w:t xml:space="preserve"> compliance with the individual </w:t>
      </w:r>
      <w:r>
        <w:t>banding requirements</w:t>
      </w:r>
      <w:r w:rsidRPr="00C94BAC">
        <w:t>.</w:t>
      </w:r>
      <w:r>
        <w:t xml:space="preserve"> However these issues are being actively addressed by management.</w:t>
      </w:r>
    </w:p>
    <w:sectPr w:rsidR="001D6EED" w:rsidRPr="001D6EED" w:rsidSect="00D6316E">
      <w:headerReference w:type="default" r:id="rId7"/>
      <w:pgSz w:w="11906" w:h="16838"/>
      <w:pgMar w:top="124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BE2F2" w14:textId="77777777" w:rsidR="00687BBA" w:rsidRDefault="00BF0238">
      <w:pPr>
        <w:spacing w:line="240" w:lineRule="auto"/>
      </w:pPr>
      <w:r>
        <w:separator/>
      </w:r>
    </w:p>
  </w:endnote>
  <w:endnote w:type="continuationSeparator" w:id="0">
    <w:p w14:paraId="6CB8CC71" w14:textId="77777777" w:rsidR="00687BBA" w:rsidRDefault="00BF02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5A6340" w14:textId="77777777" w:rsidR="00687BBA" w:rsidRDefault="00BF0238">
      <w:pPr>
        <w:spacing w:line="240" w:lineRule="auto"/>
      </w:pPr>
      <w:r>
        <w:separator/>
      </w:r>
    </w:p>
  </w:footnote>
  <w:footnote w:type="continuationSeparator" w:id="0">
    <w:p w14:paraId="78E1707E" w14:textId="77777777" w:rsidR="00687BBA" w:rsidRDefault="00BF02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C3B5D" w14:textId="77777777" w:rsidR="008E43E0" w:rsidRPr="008E43E0" w:rsidRDefault="00BF0238">
    <w:pPr>
      <w:pStyle w:val="Header"/>
      <w:rPr>
        <w:rFonts w:ascii="Arial" w:hAnsi="Arial" w:cs="Arial"/>
        <w:b/>
        <w:sz w:val="24"/>
        <w:szCs w:val="24"/>
      </w:rPr>
    </w:pPr>
    <w:r w:rsidRPr="008E43E0">
      <w:rPr>
        <w:rFonts w:ascii="Arial" w:hAnsi="Arial" w:cs="Arial"/>
        <w:b/>
        <w:sz w:val="24"/>
        <w:szCs w:val="24"/>
      </w:rPr>
      <w:t xml:space="preserve">Matters </w:t>
    </w:r>
    <w:r>
      <w:rPr>
        <w:rFonts w:ascii="Arial" w:hAnsi="Arial" w:cs="Arial"/>
        <w:b/>
        <w:sz w:val="24"/>
        <w:szCs w:val="24"/>
      </w:rPr>
      <w:t>arising from audit work for 2019/20</w:t>
    </w:r>
    <w:r w:rsidRPr="008E43E0">
      <w:rPr>
        <w:rFonts w:ascii="Arial" w:hAnsi="Arial" w:cs="Arial"/>
        <w:b/>
        <w:sz w:val="24"/>
        <w:szCs w:val="24"/>
      </w:rPr>
      <w:t xml:space="preserve"> </w:t>
    </w:r>
    <w:r>
      <w:rPr>
        <w:rFonts w:ascii="Arial" w:hAnsi="Arial" w:cs="Arial"/>
        <w:b/>
        <w:sz w:val="24"/>
        <w:szCs w:val="24"/>
      </w:rPr>
      <w:t xml:space="preserve">to 31 December </w:t>
    </w:r>
    <w:r w:rsidRPr="008E43E0">
      <w:rPr>
        <w:rFonts w:ascii="Arial" w:hAnsi="Arial" w:cs="Arial"/>
        <w:b/>
        <w:sz w:val="24"/>
        <w:szCs w:val="24"/>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6CC6E0B"/>
    <w:multiLevelType w:val="hybridMultilevel"/>
    <w:tmpl w:val="7E4A8301"/>
    <w:lvl w:ilvl="0" w:tplc="C226A922">
      <w:start w:val="1"/>
      <w:numFmt w:val="ideographDigital"/>
      <w:lvlText w:val=""/>
      <w:lvlJc w:val="left"/>
    </w:lvl>
    <w:lvl w:ilvl="1" w:tplc="27CE6DAC">
      <w:numFmt w:val="decimal"/>
      <w:lvlText w:val=""/>
      <w:lvlJc w:val="left"/>
    </w:lvl>
    <w:lvl w:ilvl="2" w:tplc="B8EE0C46">
      <w:numFmt w:val="decimal"/>
      <w:lvlText w:val=""/>
      <w:lvlJc w:val="left"/>
    </w:lvl>
    <w:lvl w:ilvl="3" w:tplc="1F067080">
      <w:numFmt w:val="decimal"/>
      <w:lvlText w:val=""/>
      <w:lvlJc w:val="left"/>
    </w:lvl>
    <w:lvl w:ilvl="4" w:tplc="70CA872E">
      <w:numFmt w:val="decimal"/>
      <w:lvlText w:val=""/>
      <w:lvlJc w:val="left"/>
    </w:lvl>
    <w:lvl w:ilvl="5" w:tplc="805CD184">
      <w:numFmt w:val="decimal"/>
      <w:lvlText w:val=""/>
      <w:lvlJc w:val="left"/>
    </w:lvl>
    <w:lvl w:ilvl="6" w:tplc="66622E98">
      <w:numFmt w:val="decimal"/>
      <w:lvlText w:val=""/>
      <w:lvlJc w:val="left"/>
    </w:lvl>
    <w:lvl w:ilvl="7" w:tplc="E16C70D0">
      <w:numFmt w:val="decimal"/>
      <w:lvlText w:val=""/>
      <w:lvlJc w:val="left"/>
    </w:lvl>
    <w:lvl w:ilvl="8" w:tplc="7B1200AA">
      <w:numFmt w:val="decimal"/>
      <w:lvlText w:val=""/>
      <w:lvlJc w:val="left"/>
    </w:lvl>
  </w:abstractNum>
  <w:abstractNum w:abstractNumId="1" w15:restartNumberingAfterBreak="0">
    <w:nsid w:val="FFFFFF7C"/>
    <w:multiLevelType w:val="singleLevel"/>
    <w:tmpl w:val="1D72155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CD8C2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5DADD7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E36468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7A07BA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6043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C64CA4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990185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4F42EB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52CA4"/>
    <w:multiLevelType w:val="multilevel"/>
    <w:tmpl w:val="976CB93E"/>
    <w:styleLink w:val="Ruthstandard"/>
    <w:lvl w:ilvl="0">
      <w:start w:val="1"/>
      <w:numFmt w:val="decimal"/>
      <w:lvlText w:val="%1."/>
      <w:lvlJc w:val="left"/>
      <w:pPr>
        <w:ind w:left="360" w:hanging="360"/>
      </w:pPr>
      <w:rPr>
        <w:rFonts w:ascii="Arial" w:hAnsi="Arial"/>
        <w:caps w:val="0"/>
        <w:smallCaps w:val="0"/>
        <w:strike w:val="0"/>
        <w:dstrike w:val="0"/>
        <w:vanish w:val="0"/>
        <w:sz w:val="28"/>
        <w:vertAlign w:val="base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061A4062"/>
    <w:multiLevelType w:val="hybridMultilevel"/>
    <w:tmpl w:val="513AA548"/>
    <w:lvl w:ilvl="0" w:tplc="7D7A0E5A">
      <w:start w:val="1"/>
      <w:numFmt w:val="decimal"/>
      <w:lvlText w:val="%1."/>
      <w:lvlJc w:val="left"/>
      <w:pPr>
        <w:ind w:left="720" w:hanging="360"/>
      </w:pPr>
      <w:rPr>
        <w:rFonts w:ascii="Arial" w:hAnsi="Arial" w:hint="default"/>
        <w:b w:val="0"/>
        <w:i w:val="0"/>
        <w:caps w:val="0"/>
        <w:strike w:val="0"/>
        <w:dstrike w:val="0"/>
        <w:vanish w:val="0"/>
        <w:color w:val="auto"/>
        <w:sz w:val="24"/>
        <w:vertAlign w:val="baseline"/>
      </w:rPr>
    </w:lvl>
    <w:lvl w:ilvl="1" w:tplc="FDD476A8" w:tentative="1">
      <w:start w:val="1"/>
      <w:numFmt w:val="lowerLetter"/>
      <w:lvlText w:val="%2."/>
      <w:lvlJc w:val="left"/>
      <w:pPr>
        <w:ind w:left="1440" w:hanging="360"/>
      </w:pPr>
    </w:lvl>
    <w:lvl w:ilvl="2" w:tplc="68448436" w:tentative="1">
      <w:start w:val="1"/>
      <w:numFmt w:val="lowerRoman"/>
      <w:lvlText w:val="%3."/>
      <w:lvlJc w:val="right"/>
      <w:pPr>
        <w:ind w:left="2160" w:hanging="180"/>
      </w:pPr>
    </w:lvl>
    <w:lvl w:ilvl="3" w:tplc="9C525B5E" w:tentative="1">
      <w:start w:val="1"/>
      <w:numFmt w:val="decimal"/>
      <w:lvlText w:val="%4."/>
      <w:lvlJc w:val="left"/>
      <w:pPr>
        <w:ind w:left="2880" w:hanging="360"/>
      </w:pPr>
    </w:lvl>
    <w:lvl w:ilvl="4" w:tplc="A25E9A6E" w:tentative="1">
      <w:start w:val="1"/>
      <w:numFmt w:val="lowerLetter"/>
      <w:lvlText w:val="%5."/>
      <w:lvlJc w:val="left"/>
      <w:pPr>
        <w:ind w:left="3600" w:hanging="360"/>
      </w:pPr>
    </w:lvl>
    <w:lvl w:ilvl="5" w:tplc="DEAAAD8E" w:tentative="1">
      <w:start w:val="1"/>
      <w:numFmt w:val="lowerRoman"/>
      <w:lvlText w:val="%6."/>
      <w:lvlJc w:val="right"/>
      <w:pPr>
        <w:ind w:left="4320" w:hanging="180"/>
      </w:pPr>
    </w:lvl>
    <w:lvl w:ilvl="6" w:tplc="B2AE494E" w:tentative="1">
      <w:start w:val="1"/>
      <w:numFmt w:val="decimal"/>
      <w:lvlText w:val="%7."/>
      <w:lvlJc w:val="left"/>
      <w:pPr>
        <w:ind w:left="5040" w:hanging="360"/>
      </w:pPr>
    </w:lvl>
    <w:lvl w:ilvl="7" w:tplc="BE8EEA4C" w:tentative="1">
      <w:start w:val="1"/>
      <w:numFmt w:val="lowerLetter"/>
      <w:lvlText w:val="%8."/>
      <w:lvlJc w:val="left"/>
      <w:pPr>
        <w:ind w:left="5760" w:hanging="360"/>
      </w:pPr>
    </w:lvl>
    <w:lvl w:ilvl="8" w:tplc="F7065A8E" w:tentative="1">
      <w:start w:val="1"/>
      <w:numFmt w:val="lowerRoman"/>
      <w:lvlText w:val="%9."/>
      <w:lvlJc w:val="right"/>
      <w:pPr>
        <w:ind w:left="6480" w:hanging="180"/>
      </w:pPr>
    </w:lvl>
  </w:abstractNum>
  <w:abstractNum w:abstractNumId="12" w15:restartNumberingAfterBreak="0">
    <w:nsid w:val="0BAE3156"/>
    <w:multiLevelType w:val="multilevel"/>
    <w:tmpl w:val="41FE2414"/>
    <w:lvl w:ilvl="0">
      <w:start w:val="1"/>
      <w:numFmt w:val="decimal"/>
      <w:lvlText w:val="%1"/>
      <w:lvlJc w:val="left"/>
      <w:pPr>
        <w:tabs>
          <w:tab w:val="num" w:pos="8081"/>
        </w:tabs>
        <w:ind w:left="8081" w:hanging="851"/>
      </w:pPr>
      <w:rPr>
        <w:rFonts w:ascii="Arial Bold" w:hAnsi="Arial Bold" w:cs="Times New Roman" w:hint="default"/>
        <w:b/>
        <w:i w:val="0"/>
        <w:sz w:val="28"/>
        <w:szCs w:val="28"/>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bullet"/>
      <w:lvlText w:val=""/>
      <w:lvlJc w:val="left"/>
      <w:pPr>
        <w:tabs>
          <w:tab w:val="num" w:pos="1701"/>
        </w:tabs>
        <w:ind w:left="1701" w:hanging="850"/>
      </w:pPr>
      <w:rPr>
        <w:rFonts w:ascii="Symbol" w:hAnsi="Symbol"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3" w15:restartNumberingAfterBreak="0">
    <w:nsid w:val="19DC4E83"/>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F853E8"/>
    <w:multiLevelType w:val="hybridMultilevel"/>
    <w:tmpl w:val="78BEB260"/>
    <w:lvl w:ilvl="0" w:tplc="9DAAF39E">
      <w:start w:val="4"/>
      <w:numFmt w:val="bullet"/>
      <w:lvlText w:val=""/>
      <w:lvlJc w:val="left"/>
      <w:pPr>
        <w:ind w:left="927" w:hanging="360"/>
      </w:pPr>
      <w:rPr>
        <w:rFonts w:ascii="Symbol" w:eastAsiaTheme="minorEastAsia" w:hAnsi="Symbol" w:cstheme="minorBidi" w:hint="default"/>
      </w:rPr>
    </w:lvl>
    <w:lvl w:ilvl="1" w:tplc="922AD3DA" w:tentative="1">
      <w:start w:val="1"/>
      <w:numFmt w:val="bullet"/>
      <w:lvlText w:val="o"/>
      <w:lvlJc w:val="left"/>
      <w:pPr>
        <w:ind w:left="1647" w:hanging="360"/>
      </w:pPr>
      <w:rPr>
        <w:rFonts w:ascii="Courier New" w:hAnsi="Courier New" w:cs="Courier New" w:hint="default"/>
      </w:rPr>
    </w:lvl>
    <w:lvl w:ilvl="2" w:tplc="0E96F330" w:tentative="1">
      <w:start w:val="1"/>
      <w:numFmt w:val="bullet"/>
      <w:lvlText w:val=""/>
      <w:lvlJc w:val="left"/>
      <w:pPr>
        <w:ind w:left="2367" w:hanging="360"/>
      </w:pPr>
      <w:rPr>
        <w:rFonts w:ascii="Wingdings" w:hAnsi="Wingdings" w:hint="default"/>
      </w:rPr>
    </w:lvl>
    <w:lvl w:ilvl="3" w:tplc="295E870C" w:tentative="1">
      <w:start w:val="1"/>
      <w:numFmt w:val="bullet"/>
      <w:lvlText w:val=""/>
      <w:lvlJc w:val="left"/>
      <w:pPr>
        <w:ind w:left="3087" w:hanging="360"/>
      </w:pPr>
      <w:rPr>
        <w:rFonts w:ascii="Symbol" w:hAnsi="Symbol" w:hint="default"/>
      </w:rPr>
    </w:lvl>
    <w:lvl w:ilvl="4" w:tplc="7D6ADEB8" w:tentative="1">
      <w:start w:val="1"/>
      <w:numFmt w:val="bullet"/>
      <w:lvlText w:val="o"/>
      <w:lvlJc w:val="left"/>
      <w:pPr>
        <w:ind w:left="3807" w:hanging="360"/>
      </w:pPr>
      <w:rPr>
        <w:rFonts w:ascii="Courier New" w:hAnsi="Courier New" w:cs="Courier New" w:hint="default"/>
      </w:rPr>
    </w:lvl>
    <w:lvl w:ilvl="5" w:tplc="EC04E2C8" w:tentative="1">
      <w:start w:val="1"/>
      <w:numFmt w:val="bullet"/>
      <w:lvlText w:val=""/>
      <w:lvlJc w:val="left"/>
      <w:pPr>
        <w:ind w:left="4527" w:hanging="360"/>
      </w:pPr>
      <w:rPr>
        <w:rFonts w:ascii="Wingdings" w:hAnsi="Wingdings" w:hint="default"/>
      </w:rPr>
    </w:lvl>
    <w:lvl w:ilvl="6" w:tplc="C0EE20D6" w:tentative="1">
      <w:start w:val="1"/>
      <w:numFmt w:val="bullet"/>
      <w:lvlText w:val=""/>
      <w:lvlJc w:val="left"/>
      <w:pPr>
        <w:ind w:left="5247" w:hanging="360"/>
      </w:pPr>
      <w:rPr>
        <w:rFonts w:ascii="Symbol" w:hAnsi="Symbol" w:hint="default"/>
      </w:rPr>
    </w:lvl>
    <w:lvl w:ilvl="7" w:tplc="0BB8D66A" w:tentative="1">
      <w:start w:val="1"/>
      <w:numFmt w:val="bullet"/>
      <w:lvlText w:val="o"/>
      <w:lvlJc w:val="left"/>
      <w:pPr>
        <w:ind w:left="5967" w:hanging="360"/>
      </w:pPr>
      <w:rPr>
        <w:rFonts w:ascii="Courier New" w:hAnsi="Courier New" w:cs="Courier New" w:hint="default"/>
      </w:rPr>
    </w:lvl>
    <w:lvl w:ilvl="8" w:tplc="549073B4" w:tentative="1">
      <w:start w:val="1"/>
      <w:numFmt w:val="bullet"/>
      <w:lvlText w:val=""/>
      <w:lvlJc w:val="left"/>
      <w:pPr>
        <w:ind w:left="6687" w:hanging="360"/>
      </w:pPr>
      <w:rPr>
        <w:rFonts w:ascii="Wingdings" w:hAnsi="Wingdings" w:hint="default"/>
      </w:rPr>
    </w:lvl>
  </w:abstractNum>
  <w:abstractNum w:abstractNumId="15" w15:restartNumberingAfterBreak="0">
    <w:nsid w:val="2D140578"/>
    <w:multiLevelType w:val="hybridMultilevel"/>
    <w:tmpl w:val="212E4714"/>
    <w:lvl w:ilvl="0" w:tplc="68D06D7A">
      <w:start w:val="4"/>
      <w:numFmt w:val="bullet"/>
      <w:lvlText w:val=""/>
      <w:lvlJc w:val="left"/>
      <w:pPr>
        <w:ind w:left="720" w:hanging="360"/>
      </w:pPr>
      <w:rPr>
        <w:rFonts w:ascii="Symbol" w:eastAsiaTheme="minorEastAsia" w:hAnsi="Symbol" w:cs="Arial" w:hint="default"/>
        <w:sz w:val="24"/>
      </w:rPr>
    </w:lvl>
    <w:lvl w:ilvl="1" w:tplc="5C20B4EA" w:tentative="1">
      <w:start w:val="1"/>
      <w:numFmt w:val="bullet"/>
      <w:lvlText w:val="o"/>
      <w:lvlJc w:val="left"/>
      <w:pPr>
        <w:ind w:left="1440" w:hanging="360"/>
      </w:pPr>
      <w:rPr>
        <w:rFonts w:ascii="Courier New" w:hAnsi="Courier New" w:cs="Courier New" w:hint="default"/>
      </w:rPr>
    </w:lvl>
    <w:lvl w:ilvl="2" w:tplc="E362C28C" w:tentative="1">
      <w:start w:val="1"/>
      <w:numFmt w:val="bullet"/>
      <w:lvlText w:val=""/>
      <w:lvlJc w:val="left"/>
      <w:pPr>
        <w:ind w:left="2160" w:hanging="360"/>
      </w:pPr>
      <w:rPr>
        <w:rFonts w:ascii="Wingdings" w:hAnsi="Wingdings" w:hint="default"/>
      </w:rPr>
    </w:lvl>
    <w:lvl w:ilvl="3" w:tplc="EC5C0D60" w:tentative="1">
      <w:start w:val="1"/>
      <w:numFmt w:val="bullet"/>
      <w:lvlText w:val=""/>
      <w:lvlJc w:val="left"/>
      <w:pPr>
        <w:ind w:left="2880" w:hanging="360"/>
      </w:pPr>
      <w:rPr>
        <w:rFonts w:ascii="Symbol" w:hAnsi="Symbol" w:hint="default"/>
      </w:rPr>
    </w:lvl>
    <w:lvl w:ilvl="4" w:tplc="9BFC879A" w:tentative="1">
      <w:start w:val="1"/>
      <w:numFmt w:val="bullet"/>
      <w:lvlText w:val="o"/>
      <w:lvlJc w:val="left"/>
      <w:pPr>
        <w:ind w:left="3600" w:hanging="360"/>
      </w:pPr>
      <w:rPr>
        <w:rFonts w:ascii="Courier New" w:hAnsi="Courier New" w:cs="Courier New" w:hint="default"/>
      </w:rPr>
    </w:lvl>
    <w:lvl w:ilvl="5" w:tplc="95B820A0" w:tentative="1">
      <w:start w:val="1"/>
      <w:numFmt w:val="bullet"/>
      <w:lvlText w:val=""/>
      <w:lvlJc w:val="left"/>
      <w:pPr>
        <w:ind w:left="4320" w:hanging="360"/>
      </w:pPr>
      <w:rPr>
        <w:rFonts w:ascii="Wingdings" w:hAnsi="Wingdings" w:hint="default"/>
      </w:rPr>
    </w:lvl>
    <w:lvl w:ilvl="6" w:tplc="EA94BE60" w:tentative="1">
      <w:start w:val="1"/>
      <w:numFmt w:val="bullet"/>
      <w:lvlText w:val=""/>
      <w:lvlJc w:val="left"/>
      <w:pPr>
        <w:ind w:left="5040" w:hanging="360"/>
      </w:pPr>
      <w:rPr>
        <w:rFonts w:ascii="Symbol" w:hAnsi="Symbol" w:hint="default"/>
      </w:rPr>
    </w:lvl>
    <w:lvl w:ilvl="7" w:tplc="05BEB020" w:tentative="1">
      <w:start w:val="1"/>
      <w:numFmt w:val="bullet"/>
      <w:lvlText w:val="o"/>
      <w:lvlJc w:val="left"/>
      <w:pPr>
        <w:ind w:left="5760" w:hanging="360"/>
      </w:pPr>
      <w:rPr>
        <w:rFonts w:ascii="Courier New" w:hAnsi="Courier New" w:cs="Courier New" w:hint="default"/>
      </w:rPr>
    </w:lvl>
    <w:lvl w:ilvl="8" w:tplc="2E62B72C" w:tentative="1">
      <w:start w:val="1"/>
      <w:numFmt w:val="bullet"/>
      <w:lvlText w:val=""/>
      <w:lvlJc w:val="left"/>
      <w:pPr>
        <w:ind w:left="6480" w:hanging="360"/>
      </w:pPr>
      <w:rPr>
        <w:rFonts w:ascii="Wingdings" w:hAnsi="Wingdings" w:hint="default"/>
      </w:rPr>
    </w:lvl>
  </w:abstractNum>
  <w:abstractNum w:abstractNumId="16" w15:restartNumberingAfterBreak="0">
    <w:nsid w:val="47C75BDA"/>
    <w:multiLevelType w:val="hybridMultilevel"/>
    <w:tmpl w:val="27E6247C"/>
    <w:lvl w:ilvl="0" w:tplc="749C2740">
      <w:start w:val="1"/>
      <w:numFmt w:val="bullet"/>
      <w:pStyle w:val="Rbullet"/>
      <w:lvlText w:val=""/>
      <w:lvlJc w:val="left"/>
      <w:pPr>
        <w:ind w:left="1440" w:hanging="360"/>
      </w:pPr>
      <w:rPr>
        <w:rFonts w:ascii="Symbol" w:hAnsi="Symbol" w:hint="default"/>
      </w:rPr>
    </w:lvl>
    <w:lvl w:ilvl="1" w:tplc="2D52FD6C" w:tentative="1">
      <w:start w:val="1"/>
      <w:numFmt w:val="bullet"/>
      <w:lvlText w:val="o"/>
      <w:lvlJc w:val="left"/>
      <w:pPr>
        <w:ind w:left="2160" w:hanging="360"/>
      </w:pPr>
      <w:rPr>
        <w:rFonts w:ascii="Courier New" w:hAnsi="Courier New" w:cs="Courier New" w:hint="default"/>
      </w:rPr>
    </w:lvl>
    <w:lvl w:ilvl="2" w:tplc="CE46E7F0" w:tentative="1">
      <w:start w:val="1"/>
      <w:numFmt w:val="bullet"/>
      <w:lvlText w:val=""/>
      <w:lvlJc w:val="left"/>
      <w:pPr>
        <w:ind w:left="2880" w:hanging="360"/>
      </w:pPr>
      <w:rPr>
        <w:rFonts w:ascii="Wingdings" w:hAnsi="Wingdings" w:hint="default"/>
      </w:rPr>
    </w:lvl>
    <w:lvl w:ilvl="3" w:tplc="88A823F2" w:tentative="1">
      <w:start w:val="1"/>
      <w:numFmt w:val="bullet"/>
      <w:lvlText w:val=""/>
      <w:lvlJc w:val="left"/>
      <w:pPr>
        <w:ind w:left="3600" w:hanging="360"/>
      </w:pPr>
      <w:rPr>
        <w:rFonts w:ascii="Symbol" w:hAnsi="Symbol" w:hint="default"/>
      </w:rPr>
    </w:lvl>
    <w:lvl w:ilvl="4" w:tplc="44304704" w:tentative="1">
      <w:start w:val="1"/>
      <w:numFmt w:val="bullet"/>
      <w:lvlText w:val="o"/>
      <w:lvlJc w:val="left"/>
      <w:pPr>
        <w:ind w:left="4320" w:hanging="360"/>
      </w:pPr>
      <w:rPr>
        <w:rFonts w:ascii="Courier New" w:hAnsi="Courier New" w:cs="Courier New" w:hint="default"/>
      </w:rPr>
    </w:lvl>
    <w:lvl w:ilvl="5" w:tplc="F418F40C" w:tentative="1">
      <w:start w:val="1"/>
      <w:numFmt w:val="bullet"/>
      <w:lvlText w:val=""/>
      <w:lvlJc w:val="left"/>
      <w:pPr>
        <w:ind w:left="5040" w:hanging="360"/>
      </w:pPr>
      <w:rPr>
        <w:rFonts w:ascii="Wingdings" w:hAnsi="Wingdings" w:hint="default"/>
      </w:rPr>
    </w:lvl>
    <w:lvl w:ilvl="6" w:tplc="3BF0C766" w:tentative="1">
      <w:start w:val="1"/>
      <w:numFmt w:val="bullet"/>
      <w:lvlText w:val=""/>
      <w:lvlJc w:val="left"/>
      <w:pPr>
        <w:ind w:left="5760" w:hanging="360"/>
      </w:pPr>
      <w:rPr>
        <w:rFonts w:ascii="Symbol" w:hAnsi="Symbol" w:hint="default"/>
      </w:rPr>
    </w:lvl>
    <w:lvl w:ilvl="7" w:tplc="4AA62C96" w:tentative="1">
      <w:start w:val="1"/>
      <w:numFmt w:val="bullet"/>
      <w:lvlText w:val="o"/>
      <w:lvlJc w:val="left"/>
      <w:pPr>
        <w:ind w:left="6480" w:hanging="360"/>
      </w:pPr>
      <w:rPr>
        <w:rFonts w:ascii="Courier New" w:hAnsi="Courier New" w:cs="Courier New" w:hint="default"/>
      </w:rPr>
    </w:lvl>
    <w:lvl w:ilvl="8" w:tplc="DC148A9C" w:tentative="1">
      <w:start w:val="1"/>
      <w:numFmt w:val="bullet"/>
      <w:lvlText w:val=""/>
      <w:lvlJc w:val="left"/>
      <w:pPr>
        <w:ind w:left="7200" w:hanging="360"/>
      </w:pPr>
      <w:rPr>
        <w:rFonts w:ascii="Wingdings" w:hAnsi="Wingdings" w:hint="default"/>
      </w:rPr>
    </w:lvl>
  </w:abstractNum>
  <w:abstractNum w:abstractNumId="17" w15:restartNumberingAfterBreak="0">
    <w:nsid w:val="52B23514"/>
    <w:multiLevelType w:val="multilevel"/>
    <w:tmpl w:val="B762B1D6"/>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20" w:hanging="360"/>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541626B9"/>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9" w15:restartNumberingAfterBreak="0">
    <w:nsid w:val="55FD040D"/>
    <w:multiLevelType w:val="multilevel"/>
    <w:tmpl w:val="195AFA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0771DB"/>
    <w:multiLevelType w:val="multilevel"/>
    <w:tmpl w:val="B0EA7440"/>
    <w:lvl w:ilvl="0">
      <w:start w:val="1"/>
      <w:numFmt w:val="decimal"/>
      <w:lvlText w:val="%1"/>
      <w:lvlJc w:val="left"/>
      <w:pPr>
        <w:ind w:left="360" w:hanging="360"/>
      </w:pPr>
      <w:rPr>
        <w:rFonts w:ascii="Arial" w:hAnsi="Arial"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Ruthsbulletpoint"/>
      <w:lvlText w:val=""/>
      <w:lvlJc w:val="left"/>
      <w:pPr>
        <w:ind w:left="72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15:restartNumberingAfterBreak="0">
    <w:nsid w:val="640F4E78"/>
    <w:multiLevelType w:val="hybridMultilevel"/>
    <w:tmpl w:val="47B9DDB7"/>
    <w:lvl w:ilvl="0" w:tplc="04325274">
      <w:start w:val="1"/>
      <w:numFmt w:val="ideographDigital"/>
      <w:lvlText w:val=""/>
      <w:lvlJc w:val="left"/>
    </w:lvl>
    <w:lvl w:ilvl="1" w:tplc="93745F9A">
      <w:numFmt w:val="decimal"/>
      <w:lvlText w:val=""/>
      <w:lvlJc w:val="left"/>
    </w:lvl>
    <w:lvl w:ilvl="2" w:tplc="05DC1E5E">
      <w:numFmt w:val="decimal"/>
      <w:lvlText w:val=""/>
      <w:lvlJc w:val="left"/>
    </w:lvl>
    <w:lvl w:ilvl="3" w:tplc="5FE0A22E">
      <w:numFmt w:val="decimal"/>
      <w:lvlText w:val=""/>
      <w:lvlJc w:val="left"/>
    </w:lvl>
    <w:lvl w:ilvl="4" w:tplc="319471E0">
      <w:numFmt w:val="decimal"/>
      <w:lvlText w:val=""/>
      <w:lvlJc w:val="left"/>
    </w:lvl>
    <w:lvl w:ilvl="5" w:tplc="298A1B1C">
      <w:numFmt w:val="decimal"/>
      <w:lvlText w:val=""/>
      <w:lvlJc w:val="left"/>
    </w:lvl>
    <w:lvl w:ilvl="6" w:tplc="67E8C26C">
      <w:numFmt w:val="decimal"/>
      <w:lvlText w:val=""/>
      <w:lvlJc w:val="left"/>
    </w:lvl>
    <w:lvl w:ilvl="7" w:tplc="4E7EC2F4">
      <w:numFmt w:val="decimal"/>
      <w:lvlText w:val=""/>
      <w:lvlJc w:val="left"/>
    </w:lvl>
    <w:lvl w:ilvl="8" w:tplc="9FAE5A08">
      <w:numFmt w:val="decimal"/>
      <w:lvlText w:val=""/>
      <w:lvlJc w:val="left"/>
    </w:lvl>
  </w:abstractNum>
  <w:abstractNum w:abstractNumId="22" w15:restartNumberingAfterBreak="0">
    <w:nsid w:val="69536897"/>
    <w:multiLevelType w:val="multilevel"/>
    <w:tmpl w:val="0CF0AC1C"/>
    <w:lvl w:ilvl="0">
      <w:start w:val="1"/>
      <w:numFmt w:val="decimal"/>
      <w:pStyle w:val="Rheading"/>
      <w:lvlText w:val="%1"/>
      <w:lvlJc w:val="left"/>
      <w:pPr>
        <w:ind w:left="567" w:hanging="567"/>
      </w:pPr>
      <w:rPr>
        <w:rFonts w:ascii="Arial" w:hAnsi="Arial" w:hint="default"/>
        <w:b/>
        <w:bCs w:val="0"/>
        <w:i w:val="0"/>
        <w:iCs w:val="0"/>
        <w:caps w:val="0"/>
        <w:smallCaps w:val="0"/>
        <w:strike w:val="0"/>
        <w:dstrike w:val="0"/>
        <w:outline w:val="0"/>
        <w:shadow w:val="0"/>
        <w:emboss w:val="0"/>
        <w:imprint w:val="0"/>
        <w:noProof w:val="0"/>
        <w:vanish w:val="0"/>
        <w:spacing w:val="0"/>
        <w:kern w:val="0"/>
        <w:position w:val="0"/>
        <w:sz w:val="28"/>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Rparagraph"/>
      <w:lvlText w:val="%1.%2"/>
      <w:lvlJc w:val="left"/>
      <w:pPr>
        <w:ind w:left="2128" w:hanging="426"/>
      </w:pPr>
      <w:rPr>
        <w:rFonts w:ascii="Arial" w:hAnsi="Arial" w:hint="default"/>
        <w:b w:val="0"/>
        <w:i w:val="0"/>
        <w:caps w:val="0"/>
        <w:strike w:val="0"/>
        <w:dstrike w:val="0"/>
        <w:vanish w:val="0"/>
        <w:color w:val="auto"/>
        <w:sz w:val="24"/>
        <w:vertAlign w:val="baseline"/>
      </w:rPr>
    </w:lvl>
    <w:lvl w:ilvl="2">
      <w:start w:val="1"/>
      <w:numFmt w:val="lowerRoman"/>
      <w:pStyle w:val="Rthirdlevelparagraph"/>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AE21058"/>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CAE6F36"/>
    <w:multiLevelType w:val="multilevel"/>
    <w:tmpl w:val="6F522544"/>
    <w:styleLink w:val="Style1"/>
    <w:lvl w:ilvl="0">
      <w:start w:val="1"/>
      <w:numFmt w:val="decimal"/>
      <w:lvlText w:val="%1."/>
      <w:lvlJc w:val="left"/>
      <w:pPr>
        <w:ind w:left="425" w:hanging="425"/>
      </w:pPr>
      <w:rPr>
        <w:rFonts w:ascii="Arial" w:hAnsi="Arial"/>
        <w:b w:val="0"/>
        <w:i w:val="0"/>
        <w:caps w:val="0"/>
        <w:smallCaps w:val="0"/>
        <w:strike w:val="0"/>
        <w:dstrike w:val="0"/>
        <w:vanish w:val="0"/>
        <w:color w:val="auto"/>
        <w:sz w:val="24"/>
        <w:szCs w:val="28"/>
        <w:vertAlign w:val="baseline"/>
      </w:rPr>
    </w:lvl>
    <w:lvl w:ilvl="1">
      <w:start w:val="1"/>
      <w:numFmt w:val="decimal"/>
      <w:lvlText w:val="%1.%2"/>
      <w:lvlJc w:val="left"/>
      <w:pPr>
        <w:ind w:left="851" w:hanging="426"/>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FF35EF6"/>
    <w:multiLevelType w:val="multilevel"/>
    <w:tmpl w:val="C73CFDD0"/>
    <w:lvl w:ilvl="0">
      <w:start w:val="1"/>
      <w:numFmt w:val="decimal"/>
      <w:lvlText w:val="%1."/>
      <w:lvlJc w:val="left"/>
      <w:pPr>
        <w:ind w:left="425" w:hanging="425"/>
      </w:pPr>
      <w:rPr>
        <w:rFonts w:ascii="Arial" w:hAnsi="Arial" w:hint="default"/>
        <w:b w:val="0"/>
        <w:i w:val="0"/>
        <w:caps w:val="0"/>
        <w:smallCaps w:val="0"/>
        <w:strike w:val="0"/>
        <w:dstrike w:val="0"/>
        <w:vanish w:val="0"/>
        <w:color w:val="auto"/>
        <w:sz w:val="24"/>
        <w:szCs w:val="28"/>
        <w:vertAlign w:val="baseline"/>
      </w:rPr>
    </w:lvl>
    <w:lvl w:ilvl="1">
      <w:start w:val="1"/>
      <w:numFmt w:val="decimal"/>
      <w:lvlText w:val="%1.%2"/>
      <w:lvlJc w:val="left"/>
      <w:pPr>
        <w:ind w:left="567" w:hanging="567"/>
      </w:pPr>
      <w:rPr>
        <w:rFonts w:ascii="Arial" w:hAnsi="Arial" w:hint="default"/>
        <w:b w:val="0"/>
        <w:i w:val="0"/>
        <w:caps w:val="0"/>
        <w:strike w:val="0"/>
        <w:dstrike w:val="0"/>
        <w:vanish w:val="0"/>
        <w:color w:val="auto"/>
        <w:sz w:val="24"/>
        <w:vertAlign w:val="baseline"/>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22"/>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11"/>
  </w:num>
  <w:num w:numId="13">
    <w:abstractNumId w:val="24"/>
  </w:num>
  <w:num w:numId="14">
    <w:abstractNumId w:val="25"/>
  </w:num>
  <w:num w:numId="15">
    <w:abstractNumId w:val="16"/>
  </w:num>
  <w:num w:numId="16">
    <w:abstractNumId w:val="22"/>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7">
    <w:abstractNumId w:val="22"/>
    <w:lvlOverride w:ilvl="0">
      <w:lvl w:ilvl="0">
        <w:start w:val="1"/>
        <w:numFmt w:val="decimal"/>
        <w:pStyle w:val="Rheading"/>
        <w:lvlText w:val="%1."/>
        <w:lvlJc w:val="left"/>
        <w:pPr>
          <w:ind w:left="567" w:hanging="567"/>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14:ligatures w14:val="none"/>
          <w14:numForm w14:val="default"/>
          <w14:numSpacing w14:val="default"/>
          <w14:stylisticSets/>
          <w14:cntxtAlts w14:val="0"/>
        </w:rPr>
      </w:lvl>
    </w:lvlOverride>
    <w:lvlOverride w:ilvl="1">
      <w:lvl w:ilvl="1">
        <w:start w:val="1"/>
        <w:numFmt w:val="decimal"/>
        <w:pStyle w:val="Rparagraph"/>
        <w:lvlText w:val="%1.%2"/>
        <w:lvlJc w:val="left"/>
        <w:pPr>
          <w:ind w:left="567" w:hanging="567"/>
        </w:pPr>
        <w:rPr>
          <w:rFonts w:ascii="Arial" w:hAnsi="Arial" w:hint="default"/>
          <w:b w:val="0"/>
          <w:i w:val="0"/>
          <w:caps w:val="0"/>
          <w:strike w:val="0"/>
          <w:dstrike w:val="0"/>
          <w:vanish w:val="0"/>
          <w:color w:val="auto"/>
          <w:sz w:val="24"/>
          <w:vertAlign w:val="baseline"/>
        </w:rPr>
      </w:lvl>
    </w:lvlOverride>
    <w:lvlOverride w:ilvl="2">
      <w:lvl w:ilvl="2">
        <w:start w:val="1"/>
        <w:numFmt w:val="lowerRoman"/>
        <w:pStyle w:val="Rthirdlevelparagraph"/>
        <w:lvlText w:val="%3)"/>
        <w:lvlJc w:val="left"/>
        <w:pPr>
          <w:ind w:left="1134" w:hanging="283"/>
        </w:pPr>
        <w:rPr>
          <w:rFonts w:ascii="Arial" w:hAnsi="Arial" w:hint="default"/>
          <w:b w:val="0"/>
          <w:i w:val="0"/>
          <w:caps w:val="0"/>
          <w:strike w:val="0"/>
          <w:dstrike w:val="0"/>
          <w:vanish w:val="0"/>
          <w:color w:val="auto"/>
          <w:sz w:val="24"/>
          <w:vertAlign w:val="baseline"/>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25"/>
  </w:num>
  <w:num w:numId="19">
    <w:abstractNumId w:val="25"/>
  </w:num>
  <w:num w:numId="20">
    <w:abstractNumId w:val="12"/>
  </w:num>
  <w:num w:numId="21">
    <w:abstractNumId w:val="18"/>
  </w:num>
  <w:num w:numId="22">
    <w:abstractNumId w:val="20"/>
  </w:num>
  <w:num w:numId="23">
    <w:abstractNumId w:val="1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2"/>
  </w:num>
  <w:num w:numId="37">
    <w:abstractNumId w:val="22"/>
  </w:num>
  <w:num w:numId="38">
    <w:abstractNumId w:val="22"/>
  </w:num>
  <w:num w:numId="39">
    <w:abstractNumId w:val="22"/>
  </w:num>
  <w:num w:numId="40">
    <w:abstractNumId w:val="21"/>
  </w:num>
  <w:num w:numId="41">
    <w:abstractNumId w:val="14"/>
  </w:num>
  <w:num w:numId="42">
    <w:abstractNumId w:val="15"/>
  </w:num>
  <w:num w:numId="43">
    <w:abstractNumId w:val="0"/>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13"/>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3C3"/>
    <w:rsid w:val="0061298A"/>
    <w:rsid w:val="00687BBA"/>
    <w:rsid w:val="008A12D3"/>
    <w:rsid w:val="00BF0238"/>
    <w:rsid w:val="00D6316E"/>
    <w:rsid w:val="00E723C3"/>
    <w:rsid w:val="00FC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E001B"/>
  <w15:docId w15:val="{84AF4DE4-BDFE-4217-8FAF-E563B83B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199"/>
    <w:pPr>
      <w:spacing w:after="0" w:line="260" w:lineRule="atLeast"/>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02DC5"/>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uthstandard">
    <w:name w:val="Ruth standard"/>
    <w:uiPriority w:val="99"/>
    <w:rsid w:val="00130762"/>
    <w:pPr>
      <w:numPr>
        <w:numId w:val="1"/>
      </w:numPr>
    </w:pPr>
  </w:style>
  <w:style w:type="paragraph" w:customStyle="1" w:styleId="Rtitle">
    <w:name w:val="R title"/>
    <w:basedOn w:val="Heading1"/>
    <w:link w:val="RtitleChar"/>
    <w:autoRedefine/>
    <w:qFormat/>
    <w:rsid w:val="00B80983"/>
    <w:pPr>
      <w:spacing w:after="240" w:line="240" w:lineRule="auto"/>
    </w:pPr>
    <w:rPr>
      <w:rFonts w:ascii="Arial" w:hAnsi="Arial" w:cs="Arial"/>
      <w:b/>
      <w:color w:val="auto"/>
      <w:szCs w:val="24"/>
    </w:rPr>
  </w:style>
  <w:style w:type="paragraph" w:customStyle="1" w:styleId="Rheading">
    <w:name w:val="R heading"/>
    <w:basedOn w:val="Subtitle"/>
    <w:link w:val="RheadingChar"/>
    <w:autoRedefine/>
    <w:qFormat/>
    <w:rsid w:val="00951213"/>
    <w:pPr>
      <w:numPr>
        <w:ilvl w:val="0"/>
        <w:numId w:val="3"/>
      </w:numPr>
      <w:spacing w:before="240" w:after="120" w:line="240" w:lineRule="auto"/>
    </w:pPr>
    <w:rPr>
      <w:rFonts w:ascii="Arial" w:hAnsi="Arial"/>
      <w:b/>
      <w:color w:val="auto"/>
      <w:spacing w:val="0"/>
      <w:sz w:val="28"/>
    </w:rPr>
  </w:style>
  <w:style w:type="character" w:customStyle="1" w:styleId="Heading1Char">
    <w:name w:val="Heading 1 Char"/>
    <w:basedOn w:val="DefaultParagraphFont"/>
    <w:link w:val="Heading1"/>
    <w:rsid w:val="00F02DC5"/>
    <w:rPr>
      <w:rFonts w:asciiTheme="majorHAnsi" w:eastAsiaTheme="majorEastAsia" w:hAnsiTheme="majorHAnsi" w:cstheme="majorBidi"/>
      <w:color w:val="2E74B5" w:themeColor="accent1" w:themeShade="BF"/>
      <w:sz w:val="32"/>
      <w:szCs w:val="32"/>
    </w:rPr>
  </w:style>
  <w:style w:type="character" w:customStyle="1" w:styleId="RtitleChar">
    <w:name w:val="R title Char"/>
    <w:basedOn w:val="Heading1Char"/>
    <w:link w:val="Rtitle"/>
    <w:rsid w:val="00B80983"/>
    <w:rPr>
      <w:rFonts w:ascii="Arial" w:eastAsiaTheme="majorEastAsia" w:hAnsi="Arial" w:cs="Arial"/>
      <w:b/>
      <w:color w:val="2E74B5" w:themeColor="accent1" w:themeShade="BF"/>
      <w:sz w:val="32"/>
      <w:szCs w:val="24"/>
    </w:rPr>
  </w:style>
  <w:style w:type="paragraph" w:customStyle="1" w:styleId="Rnumberedparagraph">
    <w:name w:val="R numbered paragraph"/>
    <w:basedOn w:val="Rparagraph"/>
    <w:link w:val="RnumberedparagraphChar"/>
    <w:autoRedefine/>
    <w:rsid w:val="00866838"/>
    <w:pPr>
      <w:numPr>
        <w:ilvl w:val="0"/>
        <w:numId w:val="0"/>
      </w:numPr>
    </w:pPr>
  </w:style>
  <w:style w:type="paragraph" w:styleId="Subtitle">
    <w:name w:val="Subtitle"/>
    <w:basedOn w:val="Normal"/>
    <w:next w:val="Normal"/>
    <w:link w:val="SubtitleChar"/>
    <w:uiPriority w:val="11"/>
    <w:rsid w:val="008872C9"/>
    <w:pPr>
      <w:numPr>
        <w:ilvl w:val="1"/>
      </w:numPr>
      <w:spacing w:after="160" w:line="259" w:lineRule="auto"/>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72C9"/>
    <w:rPr>
      <w:rFonts w:eastAsiaTheme="minorEastAsia"/>
      <w:color w:val="5A5A5A" w:themeColor="text1" w:themeTint="A5"/>
      <w:spacing w:val="15"/>
    </w:rPr>
  </w:style>
  <w:style w:type="character" w:customStyle="1" w:styleId="RheadingChar">
    <w:name w:val="R heading Char"/>
    <w:basedOn w:val="SubtitleChar"/>
    <w:link w:val="Rheading"/>
    <w:rsid w:val="00951213"/>
    <w:rPr>
      <w:rFonts w:ascii="Arial" w:eastAsiaTheme="minorEastAsia" w:hAnsi="Arial"/>
      <w:b/>
      <w:color w:val="5A5A5A" w:themeColor="text1" w:themeTint="A5"/>
      <w:spacing w:val="15"/>
      <w:sz w:val="28"/>
    </w:rPr>
  </w:style>
  <w:style w:type="numbering" w:customStyle="1" w:styleId="Style1">
    <w:name w:val="Style1"/>
    <w:uiPriority w:val="99"/>
    <w:rsid w:val="00873C5A"/>
    <w:pPr>
      <w:numPr>
        <w:numId w:val="13"/>
      </w:numPr>
    </w:pPr>
  </w:style>
  <w:style w:type="paragraph" w:styleId="ListNumber">
    <w:name w:val="List Number"/>
    <w:basedOn w:val="Normal"/>
    <w:link w:val="ListNumberChar"/>
    <w:uiPriority w:val="99"/>
    <w:semiHidden/>
    <w:unhideWhenUsed/>
    <w:rsid w:val="008872C9"/>
    <w:pPr>
      <w:spacing w:after="160" w:line="259" w:lineRule="auto"/>
      <w:contextualSpacing/>
    </w:pPr>
    <w:rPr>
      <w:rFonts w:asciiTheme="minorHAnsi" w:eastAsiaTheme="minorHAnsi" w:hAnsiTheme="minorHAnsi" w:cstheme="minorBidi"/>
      <w:sz w:val="22"/>
      <w:szCs w:val="22"/>
    </w:rPr>
  </w:style>
  <w:style w:type="character" w:customStyle="1" w:styleId="ListNumberChar">
    <w:name w:val="List Number Char"/>
    <w:basedOn w:val="DefaultParagraphFont"/>
    <w:link w:val="ListNumber"/>
    <w:uiPriority w:val="99"/>
    <w:semiHidden/>
    <w:rsid w:val="008872C9"/>
  </w:style>
  <w:style w:type="character" w:customStyle="1" w:styleId="RnumberedparagraphChar">
    <w:name w:val="R numbered paragraph Char"/>
    <w:basedOn w:val="ListNumberChar"/>
    <w:link w:val="Rnumberedparagraph"/>
    <w:rsid w:val="00866838"/>
    <w:rPr>
      <w:rFonts w:ascii="Arial" w:eastAsiaTheme="minorEastAsia" w:hAnsi="Arial"/>
      <w:sz w:val="24"/>
    </w:rPr>
  </w:style>
  <w:style w:type="paragraph" w:customStyle="1" w:styleId="Rbullet">
    <w:name w:val="R bullet"/>
    <w:basedOn w:val="Rnumberedparagraph"/>
    <w:link w:val="RbulletChar"/>
    <w:autoRedefine/>
    <w:qFormat/>
    <w:rsid w:val="00291B97"/>
    <w:pPr>
      <w:numPr>
        <w:numId w:val="15"/>
      </w:numPr>
      <w:ind w:left="1134" w:hanging="283"/>
    </w:pPr>
  </w:style>
  <w:style w:type="paragraph" w:customStyle="1" w:styleId="Rblankparagraph">
    <w:name w:val="R blank paragraph"/>
    <w:basedOn w:val="Rnumberedparagraph"/>
    <w:link w:val="RblankparagraphChar"/>
    <w:autoRedefine/>
    <w:qFormat/>
    <w:rsid w:val="000D1344"/>
  </w:style>
  <w:style w:type="character" w:customStyle="1" w:styleId="RbulletChar">
    <w:name w:val="R bullet Char"/>
    <w:basedOn w:val="RnumberedparagraphChar"/>
    <w:link w:val="Rbullet"/>
    <w:rsid w:val="00291B97"/>
    <w:rPr>
      <w:rFonts w:ascii="Arial" w:eastAsiaTheme="minorEastAsia" w:hAnsi="Arial"/>
      <w:sz w:val="24"/>
    </w:rPr>
  </w:style>
  <w:style w:type="paragraph" w:customStyle="1" w:styleId="Rparagraph">
    <w:name w:val="R paragraph"/>
    <w:basedOn w:val="Rheading"/>
    <w:link w:val="RparagraphChar"/>
    <w:qFormat/>
    <w:rsid w:val="00743805"/>
    <w:pPr>
      <w:numPr>
        <w:ilvl w:val="1"/>
      </w:numPr>
      <w:spacing w:before="120"/>
      <w:ind w:left="567" w:hanging="567"/>
    </w:pPr>
    <w:rPr>
      <w:b w:val="0"/>
      <w:sz w:val="24"/>
    </w:rPr>
  </w:style>
  <w:style w:type="character" w:customStyle="1" w:styleId="RblankparagraphChar">
    <w:name w:val="R blank paragraph Char"/>
    <w:basedOn w:val="RnumberedparagraphChar"/>
    <w:link w:val="Rblankparagraph"/>
    <w:rsid w:val="000D1344"/>
    <w:rPr>
      <w:rFonts w:ascii="Arial" w:eastAsiaTheme="minorEastAsia" w:hAnsi="Arial"/>
      <w:sz w:val="24"/>
    </w:rPr>
  </w:style>
  <w:style w:type="paragraph" w:customStyle="1" w:styleId="Style2">
    <w:name w:val="Style2"/>
    <w:basedOn w:val="Rheading"/>
    <w:next w:val="Rparagraph"/>
    <w:rsid w:val="00A23158"/>
    <w:pPr>
      <w:numPr>
        <w:numId w:val="0"/>
      </w:numPr>
      <w:ind w:left="851" w:hanging="426"/>
    </w:pPr>
    <w:rPr>
      <w:b w:val="0"/>
    </w:rPr>
  </w:style>
  <w:style w:type="paragraph" w:customStyle="1" w:styleId="Rthirdlevelparagraph">
    <w:name w:val="R third level paragraph"/>
    <w:basedOn w:val="Rparagraph"/>
    <w:link w:val="RthirdlevelparagraphChar"/>
    <w:autoRedefine/>
    <w:qFormat/>
    <w:rsid w:val="00FB51F3"/>
    <w:pPr>
      <w:numPr>
        <w:ilvl w:val="2"/>
      </w:numPr>
    </w:pPr>
  </w:style>
  <w:style w:type="character" w:customStyle="1" w:styleId="RparagraphChar">
    <w:name w:val="R paragraph Char"/>
    <w:basedOn w:val="RheadingChar"/>
    <w:link w:val="Rparagraph"/>
    <w:rsid w:val="00743805"/>
    <w:rPr>
      <w:rFonts w:ascii="Arial" w:eastAsiaTheme="minorEastAsia" w:hAnsi="Arial"/>
      <w:b w:val="0"/>
      <w:color w:val="5A5A5A" w:themeColor="text1" w:themeTint="A5"/>
      <w:spacing w:val="15"/>
      <w:sz w:val="24"/>
    </w:rPr>
  </w:style>
  <w:style w:type="character" w:customStyle="1" w:styleId="RthirdlevelparagraphChar">
    <w:name w:val="R third level paragraph Char"/>
    <w:basedOn w:val="RparagraphChar"/>
    <w:link w:val="Rthirdlevelparagraph"/>
    <w:rsid w:val="00FB51F3"/>
    <w:rPr>
      <w:rFonts w:ascii="Arial" w:eastAsiaTheme="minorEastAsia" w:hAnsi="Arial"/>
      <w:b w:val="0"/>
      <w:color w:val="5A5A5A" w:themeColor="text1" w:themeTint="A5"/>
      <w:spacing w:val="15"/>
      <w:sz w:val="24"/>
    </w:rPr>
  </w:style>
  <w:style w:type="paragraph" w:customStyle="1" w:styleId="Rquotation">
    <w:name w:val="R quotation"/>
    <w:basedOn w:val="Rblankparagraph"/>
    <w:link w:val="RquotationChar"/>
    <w:qFormat/>
    <w:rsid w:val="000D1344"/>
    <w:pPr>
      <w:ind w:left="567"/>
    </w:pPr>
  </w:style>
  <w:style w:type="paragraph" w:customStyle="1" w:styleId="Rsub-headinghalf">
    <w:name w:val="R sub-heading (half)"/>
    <w:basedOn w:val="Rparagraph"/>
    <w:link w:val="Rsub-headinghalfChar"/>
    <w:autoRedefine/>
    <w:qFormat/>
    <w:rsid w:val="00404CFD"/>
    <w:pPr>
      <w:numPr>
        <w:ilvl w:val="0"/>
        <w:numId w:val="0"/>
      </w:numPr>
      <w:tabs>
        <w:tab w:val="right" w:pos="9026"/>
      </w:tabs>
      <w:spacing w:after="0"/>
      <w:ind w:left="567"/>
    </w:pPr>
    <w:rPr>
      <w:b/>
    </w:rPr>
  </w:style>
  <w:style w:type="character" w:customStyle="1" w:styleId="RquotationChar">
    <w:name w:val="R quotation Char"/>
    <w:basedOn w:val="RblankparagraphChar"/>
    <w:link w:val="Rquotation"/>
    <w:rsid w:val="000D1344"/>
    <w:rPr>
      <w:rFonts w:ascii="Arial" w:eastAsiaTheme="minorEastAsia" w:hAnsi="Arial"/>
      <w:sz w:val="24"/>
    </w:rPr>
  </w:style>
  <w:style w:type="character" w:customStyle="1" w:styleId="Rsub-headinghalfChar">
    <w:name w:val="R sub-heading (half) Char"/>
    <w:basedOn w:val="RparagraphChar"/>
    <w:link w:val="Rsub-headinghalf"/>
    <w:rsid w:val="00404CFD"/>
    <w:rPr>
      <w:rFonts w:ascii="Arial" w:eastAsiaTheme="minorEastAsia" w:hAnsi="Arial"/>
      <w:b/>
      <w:color w:val="5A5A5A" w:themeColor="text1" w:themeTint="A5"/>
      <w:spacing w:val="15"/>
      <w:sz w:val="24"/>
    </w:rPr>
  </w:style>
  <w:style w:type="paragraph" w:styleId="Header">
    <w:name w:val="header"/>
    <w:basedOn w:val="Normal"/>
    <w:link w:val="HeaderChar"/>
    <w:uiPriority w:val="99"/>
    <w:unhideWhenUsed/>
    <w:rsid w:val="00451F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51FB1"/>
  </w:style>
  <w:style w:type="paragraph" w:styleId="Footer">
    <w:name w:val="footer"/>
    <w:basedOn w:val="Normal"/>
    <w:link w:val="FooterChar"/>
    <w:uiPriority w:val="99"/>
    <w:unhideWhenUsed/>
    <w:rsid w:val="00451FB1"/>
    <w:pPr>
      <w:tabs>
        <w:tab w:val="center" w:pos="4513"/>
        <w:tab w:val="right" w:pos="9026"/>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51FB1"/>
  </w:style>
  <w:style w:type="table" w:styleId="TableGrid">
    <w:name w:val="Table Grid"/>
    <w:basedOn w:val="TableNormal"/>
    <w:rsid w:val="00887F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F7E27"/>
    <w:pPr>
      <w:spacing w:before="60" w:after="6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rsid w:val="000F7E27"/>
    <w:rPr>
      <w:rFonts w:ascii="Tahoma" w:eastAsia="Times New Roman" w:hAnsi="Tahoma" w:cs="Tahoma"/>
      <w:sz w:val="16"/>
      <w:szCs w:val="16"/>
      <w:lang w:eastAsia="en-GB"/>
    </w:rPr>
  </w:style>
  <w:style w:type="paragraph" w:customStyle="1" w:styleId="Ruthsbulletpoint">
    <w:name w:val="Ruth's bullet point"/>
    <w:basedOn w:val="Normal"/>
    <w:uiPriority w:val="99"/>
    <w:rsid w:val="000F7E27"/>
    <w:pPr>
      <w:numPr>
        <w:ilvl w:val="1"/>
        <w:numId w:val="22"/>
      </w:numPr>
      <w:spacing w:before="120" w:after="120" w:line="240" w:lineRule="auto"/>
      <w:contextualSpacing/>
    </w:pPr>
    <w:rPr>
      <w:rFonts w:ascii="Arial" w:hAnsi="Arial"/>
      <w:sz w:val="24"/>
      <w:szCs w:val="24"/>
      <w:lang w:eastAsia="en-GB"/>
    </w:rPr>
  </w:style>
  <w:style w:type="paragraph" w:styleId="ListParagraph">
    <w:name w:val="List Paragraph"/>
    <w:basedOn w:val="Normal"/>
    <w:link w:val="ListParagraphChar"/>
    <w:uiPriority w:val="34"/>
    <w:qFormat/>
    <w:rsid w:val="00C849EA"/>
    <w:pPr>
      <w:ind w:left="720"/>
    </w:pPr>
  </w:style>
  <w:style w:type="character" w:customStyle="1" w:styleId="ListParagraphChar">
    <w:name w:val="List Paragraph Char"/>
    <w:basedOn w:val="DefaultParagraphFont"/>
    <w:link w:val="ListParagraph"/>
    <w:uiPriority w:val="34"/>
    <w:locked/>
    <w:rsid w:val="00C849E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4802"/>
    <w:rPr>
      <w:sz w:val="16"/>
      <w:szCs w:val="16"/>
    </w:rPr>
  </w:style>
  <w:style w:type="paragraph" w:styleId="CommentText">
    <w:name w:val="annotation text"/>
    <w:basedOn w:val="Normal"/>
    <w:link w:val="CommentTextChar"/>
    <w:uiPriority w:val="99"/>
    <w:semiHidden/>
    <w:unhideWhenUsed/>
    <w:rsid w:val="000B4802"/>
    <w:pPr>
      <w:spacing w:after="160" w:line="240" w:lineRule="auto"/>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0B4802"/>
    <w:rPr>
      <w:sz w:val="20"/>
      <w:szCs w:val="20"/>
    </w:rPr>
  </w:style>
  <w:style w:type="paragraph" w:styleId="CommentSubject">
    <w:name w:val="annotation subject"/>
    <w:basedOn w:val="CommentText"/>
    <w:next w:val="CommentText"/>
    <w:link w:val="CommentSubjectChar"/>
    <w:uiPriority w:val="99"/>
    <w:semiHidden/>
    <w:unhideWhenUsed/>
    <w:rsid w:val="000B4802"/>
    <w:rPr>
      <w:b/>
      <w:bCs/>
    </w:rPr>
  </w:style>
  <w:style w:type="character" w:customStyle="1" w:styleId="CommentSubjectChar">
    <w:name w:val="Comment Subject Char"/>
    <w:basedOn w:val="CommentTextChar"/>
    <w:link w:val="CommentSubject"/>
    <w:uiPriority w:val="99"/>
    <w:semiHidden/>
    <w:rsid w:val="000B4802"/>
    <w:rPr>
      <w:b/>
      <w:bCs/>
      <w:sz w:val="20"/>
      <w:szCs w:val="20"/>
    </w:rPr>
  </w:style>
  <w:style w:type="paragraph" w:customStyle="1" w:styleId="R1heading">
    <w:name w:val="R1 heading"/>
    <w:basedOn w:val="Subtitle"/>
    <w:autoRedefine/>
    <w:qFormat/>
    <w:rsid w:val="002E3B34"/>
    <w:pPr>
      <w:numPr>
        <w:ilvl w:val="0"/>
      </w:numPr>
      <w:spacing w:before="240" w:after="120" w:line="240" w:lineRule="auto"/>
      <w:ind w:left="567" w:hanging="567"/>
    </w:pPr>
    <w:rPr>
      <w:rFonts w:ascii="Arial" w:hAnsi="Arial" w:cs="Times New Roman"/>
      <w:b/>
      <w:color w:val="auto"/>
      <w:spacing w:val="0"/>
      <w:sz w:val="28"/>
      <w:szCs w:val="24"/>
      <w:lang w:eastAsia="en-GB"/>
    </w:rPr>
  </w:style>
  <w:style w:type="paragraph" w:customStyle="1" w:styleId="R3paragraph">
    <w:name w:val="R3 paragraph"/>
    <w:basedOn w:val="R1heading"/>
    <w:link w:val="R3paragraphChar"/>
    <w:qFormat/>
    <w:rsid w:val="002E3B34"/>
    <w:pPr>
      <w:spacing w:before="120"/>
    </w:pPr>
    <w:rPr>
      <w:b w:val="0"/>
      <w:sz w:val="24"/>
    </w:rPr>
  </w:style>
  <w:style w:type="paragraph" w:customStyle="1" w:styleId="R7thirdlevelparagraph">
    <w:name w:val="R7 third level paragraph"/>
    <w:basedOn w:val="R3paragraph"/>
    <w:autoRedefine/>
    <w:qFormat/>
    <w:rsid w:val="002E3B34"/>
    <w:pPr>
      <w:ind w:left="1080" w:hanging="360"/>
    </w:pPr>
  </w:style>
  <w:style w:type="character" w:customStyle="1" w:styleId="R3paragraphChar">
    <w:name w:val="R3 paragraph Char"/>
    <w:basedOn w:val="DefaultParagraphFont"/>
    <w:link w:val="R3paragraph"/>
    <w:rsid w:val="002E3B34"/>
    <w:rPr>
      <w:rFonts w:ascii="Arial" w:eastAsiaTheme="minorEastAsia" w:hAnsi="Arial" w:cs="Times New Roman"/>
      <w:sz w:val="24"/>
      <w:szCs w:val="24"/>
      <w:lang w:eastAsia="en-GB"/>
    </w:rPr>
  </w:style>
  <w:style w:type="paragraph" w:customStyle="1" w:styleId="Default">
    <w:name w:val="Default"/>
    <w:rsid w:val="00440541"/>
    <w:pPr>
      <w:autoSpaceDE w:val="0"/>
      <w:autoSpaceDN w:val="0"/>
      <w:adjustRightInd w:val="0"/>
      <w:spacing w:after="0" w:line="240" w:lineRule="auto"/>
    </w:pPr>
    <w:rPr>
      <w:rFonts w:ascii="Arial" w:hAnsi="Arial" w:cs="Arial"/>
      <w:color w:val="000000"/>
      <w:sz w:val="24"/>
      <w:szCs w:val="24"/>
    </w:rPr>
  </w:style>
  <w:style w:type="paragraph" w:customStyle="1" w:styleId="Sub-heading2ndhalf">
    <w:name w:val="Sub-heading (2nd half)"/>
    <w:basedOn w:val="Normal"/>
    <w:qFormat/>
    <w:rsid w:val="00404CFD"/>
    <w:pPr>
      <w:tabs>
        <w:tab w:val="num" w:pos="567"/>
        <w:tab w:val="right" w:pos="9072"/>
      </w:tabs>
      <w:spacing w:after="120" w:line="240" w:lineRule="auto"/>
      <w:ind w:left="567"/>
    </w:pPr>
    <w:rPr>
      <w:rFonts w:ascii="Arial" w:hAnsi="Arial" w:cs="Arial"/>
      <w:sz w:val="24"/>
      <w:szCs w:val="24"/>
    </w:rPr>
  </w:style>
  <w:style w:type="paragraph" w:customStyle="1" w:styleId="Rsub-heading">
    <w:name w:val="R sub-heading"/>
    <w:basedOn w:val="Rsub-headinghalf"/>
    <w:qFormat/>
    <w:rsid w:val="00225771"/>
    <w:pPr>
      <w:spacing w:after="120"/>
    </w:pPr>
    <w:rPr>
      <w:lang w:eastAsia="en-GB"/>
    </w:rPr>
  </w:style>
  <w:style w:type="paragraph" w:customStyle="1" w:styleId="Sub-subheading">
    <w:name w:val="Sub-sub heading"/>
    <w:basedOn w:val="Rsub-headinghalf"/>
    <w:qFormat/>
    <w:rsid w:val="00404CFD"/>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508</TotalTime>
  <Pages>8</Pages>
  <Words>3321</Words>
  <Characters>18933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Lowry, Ruth</dc:creator>
  <cp:lastModifiedBy>Jones, Debra</cp:lastModifiedBy>
  <cp:revision>41</cp:revision>
  <cp:lastPrinted>2019-10-10T11:22:00Z</cp:lastPrinted>
  <dcterms:created xsi:type="dcterms:W3CDTF">2020-01-02T08:14:00Z</dcterms:created>
  <dcterms:modified xsi:type="dcterms:W3CDTF">2020-01-16T11:53:00Z</dcterms:modified>
</cp:coreProperties>
</file>